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EE7CF0">
      <w:pPr>
        <w:spacing w:line="576" w:lineRule="exact"/>
        <w:jc w:val="left"/>
        <w:rPr>
          <w:rFonts w:hint="eastAsia" w:eastAsia="黑体"/>
          <w:kern w:val="0"/>
          <w:sz w:val="32"/>
          <w:szCs w:val="30"/>
          <w:lang w:eastAsia="zh-CN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</w:t>
      </w:r>
      <w:r>
        <w:rPr>
          <w:rFonts w:hint="eastAsia" w:ascii="黑体" w:hAnsi="黑体" w:eastAsia="黑体"/>
          <w:color w:val="000000"/>
          <w:sz w:val="32"/>
          <w:szCs w:val="30"/>
          <w:lang w:val="en-US" w:eastAsia="zh-CN"/>
        </w:rPr>
        <w:t>2</w:t>
      </w:r>
    </w:p>
    <w:tbl>
      <w:tblPr>
        <w:tblStyle w:val="2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1462"/>
        <w:gridCol w:w="5157"/>
        <w:gridCol w:w="2351"/>
      </w:tblGrid>
      <w:tr w14:paraId="4364FA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35A3F4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4D0ACE6E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关于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  <w:lang w:val="en-US" w:eastAsia="zh-CN"/>
              </w:rPr>
              <w:t>成都金沙遗址博物馆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“寻迹太阳神鸟”数字展（暂定名）展览策划服务采购项目的报价明细表</w:t>
            </w:r>
          </w:p>
          <w:p w14:paraId="01167D6B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 w14:paraId="21959B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B0D38C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序号</w:t>
            </w:r>
          </w:p>
        </w:tc>
        <w:tc>
          <w:tcPr>
            <w:tcW w:w="66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0D2CB8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报价内容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69A37E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含税报价金额           （保留2位小数）</w:t>
            </w:r>
          </w:p>
        </w:tc>
      </w:tr>
      <w:tr w14:paraId="145CE5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AC85EF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</w:t>
            </w: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 w14:paraId="6F715D0E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展览内容策划</w:t>
            </w:r>
          </w:p>
        </w:tc>
        <w:tc>
          <w:tcPr>
            <w:tcW w:w="515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1D83A3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项目整体策划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与内容资料收集整理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6A5DBE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1833C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D61217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462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50C980C3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515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7B1F85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展览内容编制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9C0DC4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77C78F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01BF19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4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70DAC69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515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C8166D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数字展项内容编写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1076EB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0B0AC7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7E9DB8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473D2091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展览形式设计</w:t>
            </w:r>
          </w:p>
        </w:tc>
        <w:tc>
          <w:tcPr>
            <w:tcW w:w="515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969F14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展区平面布局与动线设计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5A3E63"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262A03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833A62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462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104E1072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515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48418E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展览空间</w:t>
            </w:r>
            <w:bookmarkStart w:id="0" w:name="_GoBack"/>
            <w:bookmarkEnd w:id="0"/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效果图设计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54D88D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3C1E7D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DE8F68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462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5E217620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515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5E9F99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图板设计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4324D2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2F199C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4A40CB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66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7EC71A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其他费用（包括但不限于设备投入、咨询、交通差旅、食宿、利润、风险、税金等所有费用）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E0254D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498656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8002B8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66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A5FA2F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合计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1EB2B8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</w:tbl>
    <w:p w14:paraId="062CE20A">
      <w:pPr>
        <w:pStyle w:val="4"/>
      </w:pPr>
    </w:p>
    <w:p w14:paraId="392AA82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746B53"/>
    <w:rsid w:val="01D70750"/>
    <w:rsid w:val="07783E0F"/>
    <w:rsid w:val="083D5445"/>
    <w:rsid w:val="13FE0747"/>
    <w:rsid w:val="213B69BD"/>
    <w:rsid w:val="270E3BE7"/>
    <w:rsid w:val="36AB4BC9"/>
    <w:rsid w:val="381C47C8"/>
    <w:rsid w:val="3E746B53"/>
    <w:rsid w:val="3EAF5621"/>
    <w:rsid w:val="52573B6F"/>
    <w:rsid w:val="5483555B"/>
    <w:rsid w:val="58005114"/>
    <w:rsid w:val="5C7A547F"/>
    <w:rsid w:val="6A6B0B13"/>
    <w:rsid w:val="6BE807D8"/>
    <w:rsid w:val="6DF66946"/>
    <w:rsid w:val="79C77986"/>
    <w:rsid w:val="7F0013D2"/>
    <w:rsid w:val="7FD8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239</Words>
  <Characters>239</Characters>
  <Lines>0</Lines>
  <Paragraphs>0</Paragraphs>
  <TotalTime>25</TotalTime>
  <ScaleCrop>false</ScaleCrop>
  <LinksUpToDate>false</LinksUpToDate>
  <CharactersWithSpaces>313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2026-07-17T08:51:00Z</dcterms:created>
  <dc:creator>何启茂</dc:creator>
  <cp:lastModifiedBy>何启茂</cp:lastModifiedBy>
  <dcterms:modified xsi:type="dcterms:W3CDTF">2026-07-20T08:15:02Z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443217F7F88442E49108CA03E872DEA4_13</vt:lpwstr>
  </property>
  <property fmtid="{D5CDD505-2E9C-101B-9397-08002B2CF9AE}" pid="4" name="KSOTemplateDocerSaveRecord">
    <vt:lpwstr>eyJoZGlkIjoiMzNhM2EzMjYwY2ZhZTk4NDI3ODNlOTg0YTc0MjEyZWEiLCJ1c2VySWQiOiIyNjY5ODE5NzgifQ==</vt:lpwstr>
  </property>
</Properties>
</file>