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C2BA1">
      <w:pPr>
        <w:keepNext w:val="0"/>
        <w:keepLines w:val="0"/>
        <w:widowControl/>
        <w:suppressLineNumbers w:val="0"/>
        <w:jc w:val="left"/>
        <w:rPr>
          <w:rFonts w:hint="eastAsia" w:ascii="微软雅黑" w:hAnsi="微软雅黑" w:eastAsia="微软雅黑" w:cs="微软雅黑"/>
          <w:color w:val="auto"/>
          <w:kern w:val="0"/>
          <w:sz w:val="24"/>
          <w:szCs w:val="24"/>
          <w:lang w:val="en-US" w:eastAsia="zh-CN" w:bidi="ar"/>
        </w:rPr>
      </w:pPr>
      <w:r>
        <w:rPr>
          <w:rFonts w:hint="eastAsia" w:ascii="微软雅黑" w:hAnsi="微软雅黑" w:eastAsia="微软雅黑" w:cs="微软雅黑"/>
          <w:color w:val="auto"/>
          <w:kern w:val="0"/>
          <w:sz w:val="24"/>
          <w:szCs w:val="24"/>
          <w:lang w:val="en-US" w:eastAsia="zh-CN" w:bidi="ar"/>
        </w:rPr>
        <w:t>附件2：</w:t>
      </w:r>
    </w:p>
    <w:p w14:paraId="5F1D3A04">
      <w:pPr>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lang w:val="en-US" w:eastAsia="zh-CN"/>
        </w:rPr>
        <w:t>XXXX（</w:t>
      </w:r>
      <w:r>
        <w:rPr>
          <w:rFonts w:hint="eastAsia" w:ascii="方正小标宋_GBK" w:hAnsi="仿宋" w:eastAsia="方正小标宋_GBK" w:cs="仿宋"/>
          <w:color w:val="000000"/>
          <w:sz w:val="44"/>
          <w:szCs w:val="44"/>
        </w:rPr>
        <w:t>供应商名称）</w:t>
      </w:r>
    </w:p>
    <w:p w14:paraId="2E771D73">
      <w:pPr>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关于</w:t>
      </w:r>
      <w:r>
        <w:rPr>
          <w:rFonts w:hint="eastAsia" w:ascii="方正小标宋_GBK" w:hAnsi="仿宋" w:eastAsia="方正小标宋_GBK" w:cs="仿宋"/>
          <w:color w:val="000000"/>
          <w:sz w:val="44"/>
          <w:szCs w:val="44"/>
          <w:lang w:val="en-US" w:eastAsia="zh-CN"/>
        </w:rPr>
        <w:t>成都金沙遗址博物馆2027年度职工体检服务</w:t>
      </w:r>
      <w:r>
        <w:rPr>
          <w:rFonts w:hint="eastAsia" w:ascii="方正小标宋_GBK" w:hAnsi="方正小标宋_GBK" w:eastAsia="方正小标宋_GBK" w:cs="方正小标宋_GBK"/>
          <w:color w:val="000000"/>
          <w:sz w:val="44"/>
          <w:szCs w:val="44"/>
        </w:rPr>
        <w:t>项目</w:t>
      </w:r>
      <w:r>
        <w:rPr>
          <w:rFonts w:hint="eastAsia" w:ascii="方正小标宋_GBK" w:hAnsi="仿宋" w:eastAsia="方正小标宋_GBK" w:cs="仿宋"/>
          <w:color w:val="000000"/>
          <w:sz w:val="44"/>
          <w:szCs w:val="44"/>
        </w:rPr>
        <w:t>报价明细表</w:t>
      </w:r>
    </w:p>
    <w:p w14:paraId="17E6303C">
      <w:pPr>
        <w:pStyle w:val="2"/>
        <w:rPr>
          <w:rFonts w:hint="default"/>
          <w:color w:val="auto"/>
          <w:sz w:val="24"/>
          <w:szCs w:val="24"/>
          <w:lang w:val="en-US" w:eastAsia="zh-CN"/>
        </w:rPr>
      </w:pPr>
    </w:p>
    <w:p w14:paraId="338073CB">
      <w:pPr>
        <w:pStyle w:val="6"/>
        <w:keepNext w:val="0"/>
        <w:keepLines w:val="0"/>
        <w:pageBreakBefore w:val="0"/>
        <w:widowControl/>
        <w:kinsoku w:val="0"/>
        <w:wordWrap/>
        <w:overflowPunct/>
        <w:topLinePunct w:val="0"/>
        <w:autoSpaceDE w:val="0"/>
        <w:autoSpaceDN w:val="0"/>
        <w:bidi w:val="0"/>
        <w:adjustRightInd w:val="0"/>
        <w:snapToGrid w:val="0"/>
        <w:spacing w:line="580" w:lineRule="exact"/>
        <w:jc w:val="both"/>
        <w:textAlignment w:val="baseline"/>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成都</w:t>
      </w:r>
      <w:r>
        <w:rPr>
          <w:rFonts w:hint="eastAsia" w:ascii="方正仿宋_GBK" w:hAnsi="方正仿宋_GBK" w:eastAsia="方正仿宋_GBK" w:cs="方正仿宋_GBK"/>
          <w:sz w:val="32"/>
          <w:szCs w:val="32"/>
          <w:lang w:val="en-US" w:eastAsia="zh-CN"/>
        </w:rPr>
        <w:t>金沙遗址博物馆</w:t>
      </w:r>
      <w:r>
        <w:rPr>
          <w:rFonts w:hint="eastAsia" w:ascii="方正仿宋_GBK" w:hAnsi="方正仿宋_GBK" w:eastAsia="方正仿宋_GBK" w:cs="方正仿宋_GBK"/>
          <w:sz w:val="32"/>
          <w:szCs w:val="32"/>
          <w:lang w:eastAsia="zh-CN"/>
        </w:rPr>
        <w:t>：</w:t>
      </w:r>
    </w:p>
    <w:p w14:paraId="10EDD46D">
      <w:pPr>
        <w:pStyle w:val="6"/>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根据贵单位关于</w:t>
      </w:r>
      <w:r>
        <w:rPr>
          <w:rFonts w:hint="eastAsia" w:ascii="方正仿宋_GBK" w:hAnsi="方正仿宋_GBK" w:eastAsia="方正仿宋_GBK" w:cs="方正仿宋_GBK"/>
          <w:sz w:val="32"/>
          <w:szCs w:val="32"/>
          <w:lang w:val="en-US" w:eastAsia="zh-CN"/>
        </w:rPr>
        <w:t>2027</w:t>
      </w:r>
      <w:r>
        <w:rPr>
          <w:rFonts w:hint="eastAsia" w:ascii="方正仿宋_GBK" w:hAnsi="方正仿宋_GBK" w:eastAsia="方正仿宋_GBK" w:cs="方正仿宋_GBK"/>
          <w:sz w:val="32"/>
          <w:szCs w:val="32"/>
          <w:lang w:eastAsia="zh-CN"/>
        </w:rPr>
        <w:t>年度职工健康体检</w:t>
      </w:r>
      <w:r>
        <w:rPr>
          <w:rFonts w:hint="eastAsia" w:ascii="方正仿宋_GBK" w:hAnsi="方正仿宋_GBK" w:eastAsia="方正仿宋_GBK" w:cs="方正仿宋_GBK"/>
          <w:sz w:val="32"/>
          <w:szCs w:val="32"/>
          <w:lang w:val="en-US" w:eastAsia="zh-CN"/>
        </w:rPr>
        <w:t>项目</w:t>
      </w:r>
      <w:r>
        <w:rPr>
          <w:rFonts w:hint="eastAsia" w:ascii="方正仿宋_GBK" w:hAnsi="方正仿宋_GBK" w:eastAsia="方正仿宋_GBK" w:cs="方正仿宋_GBK"/>
          <w:sz w:val="32"/>
          <w:szCs w:val="32"/>
          <w:lang w:eastAsia="zh-CN"/>
        </w:rPr>
        <w:t>价格调查的公告</w:t>
      </w:r>
      <w:r>
        <w:rPr>
          <w:rFonts w:hint="eastAsia" w:ascii="方正仿宋_GBK" w:hAnsi="方正仿宋_GBK" w:eastAsia="方正仿宋_GBK" w:cs="方正仿宋_GBK"/>
          <w:sz w:val="32"/>
          <w:szCs w:val="32"/>
          <w:lang w:val="en-US" w:eastAsia="zh-CN"/>
        </w:rPr>
        <w:t>的相关要求，我单位结合工作实际，经评估，具体报价如下：</w:t>
      </w:r>
    </w:p>
    <w:tbl>
      <w:tblPr>
        <w:tblStyle w:val="4"/>
        <w:tblpPr w:leftFromText="180" w:rightFromText="180" w:vertAnchor="text" w:horzAnchor="page" w:tblpX="1906" w:tblpY="178"/>
        <w:tblOverlap w:val="never"/>
        <w:tblW w:w="8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2633"/>
        <w:gridCol w:w="1412"/>
        <w:gridCol w:w="1789"/>
        <w:gridCol w:w="1822"/>
      </w:tblGrid>
      <w:tr w14:paraId="4342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807" w:type="dxa"/>
            <w:noWrap w:val="0"/>
            <w:vAlign w:val="center"/>
          </w:tcPr>
          <w:p w14:paraId="2D73AB5D">
            <w:pPr>
              <w:spacing w:line="400" w:lineRule="exact"/>
              <w:jc w:val="center"/>
              <w:rPr>
                <w:rFonts w:hint="eastAsia" w:ascii="方正黑体_GBK" w:hAnsi="方正黑体_GBK" w:eastAsia="方正黑体_GBK" w:cs="方正黑体_GBK"/>
                <w:sz w:val="28"/>
                <w:szCs w:val="28"/>
                <w:vertAlign w:val="baseline"/>
                <w:lang w:val="en-US" w:eastAsia="zh-CN"/>
              </w:rPr>
            </w:pPr>
            <w:r>
              <w:rPr>
                <w:rFonts w:hint="eastAsia" w:ascii="宋体" w:hAnsi="宋体" w:eastAsia="宋体" w:cs="宋体"/>
                <w:b/>
                <w:color w:val="auto"/>
                <w:sz w:val="24"/>
                <w:szCs w:val="24"/>
                <w:highlight w:val="none"/>
              </w:rPr>
              <w:t>序号</w:t>
            </w:r>
          </w:p>
        </w:tc>
        <w:tc>
          <w:tcPr>
            <w:tcW w:w="2633" w:type="dxa"/>
            <w:noWrap w:val="0"/>
            <w:vAlign w:val="center"/>
          </w:tcPr>
          <w:p w14:paraId="0ECA5F62">
            <w:pPr>
              <w:spacing w:line="400" w:lineRule="exact"/>
              <w:jc w:val="center"/>
              <w:rPr>
                <w:rFonts w:hint="eastAsia" w:ascii="方正黑体_GBK" w:hAnsi="方正黑体_GBK" w:eastAsia="方正黑体_GBK" w:cs="方正黑体_GBK"/>
                <w:sz w:val="28"/>
                <w:szCs w:val="28"/>
                <w:vertAlign w:val="baseline"/>
                <w:lang w:val="en-US" w:eastAsia="zh-CN"/>
              </w:rPr>
            </w:pPr>
            <w:r>
              <w:rPr>
                <w:rFonts w:hint="eastAsia" w:ascii="宋体" w:hAnsi="宋体" w:eastAsia="宋体" w:cs="宋体"/>
                <w:b/>
                <w:color w:val="auto"/>
                <w:sz w:val="24"/>
                <w:szCs w:val="24"/>
                <w:highlight w:val="none"/>
              </w:rPr>
              <w:t>服务明细</w:t>
            </w:r>
          </w:p>
        </w:tc>
        <w:tc>
          <w:tcPr>
            <w:tcW w:w="1412" w:type="dxa"/>
            <w:noWrap w:val="0"/>
            <w:vAlign w:val="center"/>
          </w:tcPr>
          <w:p w14:paraId="5FFA1AC8">
            <w:pPr>
              <w:spacing w:line="400" w:lineRule="exact"/>
              <w:jc w:val="center"/>
              <w:rPr>
                <w:rFonts w:hint="default"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人数</w:t>
            </w:r>
          </w:p>
        </w:tc>
        <w:tc>
          <w:tcPr>
            <w:tcW w:w="1789" w:type="dxa"/>
            <w:noWrap w:val="0"/>
            <w:vAlign w:val="center"/>
          </w:tcPr>
          <w:p w14:paraId="1040BFAA">
            <w:pPr>
              <w:spacing w:line="400" w:lineRule="exact"/>
              <w:jc w:val="center"/>
              <w:rPr>
                <w:rFonts w:hint="default" w:ascii="方正黑体_GBK" w:hAnsi="方正黑体_GBK" w:eastAsia="宋体" w:cs="方正黑体_GBK"/>
                <w:snapToGrid w:val="0"/>
                <w:color w:val="000000"/>
                <w:kern w:val="0"/>
                <w:sz w:val="28"/>
                <w:szCs w:val="28"/>
                <w:vertAlign w:val="baseline"/>
                <w:lang w:val="en-US" w:eastAsia="zh-CN" w:bidi="ar-SA"/>
              </w:rPr>
            </w:pPr>
            <w:r>
              <w:rPr>
                <w:rFonts w:hint="eastAsia" w:ascii="宋体" w:hAnsi="宋体" w:eastAsia="宋体" w:cs="宋体"/>
                <w:b/>
                <w:color w:val="auto"/>
                <w:sz w:val="24"/>
                <w:szCs w:val="24"/>
                <w:highlight w:val="none"/>
                <w:lang w:val="en-US" w:eastAsia="zh-CN"/>
              </w:rPr>
              <w:t>报</w:t>
            </w:r>
            <w:r>
              <w:rPr>
                <w:rFonts w:hint="eastAsia" w:ascii="宋体" w:hAnsi="宋体" w:eastAsia="宋体" w:cs="宋体"/>
                <w:b/>
                <w:color w:val="auto"/>
                <w:sz w:val="24"/>
                <w:szCs w:val="24"/>
                <w:highlight w:val="none"/>
              </w:rPr>
              <w:t>价</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元/人）</w:t>
            </w:r>
          </w:p>
        </w:tc>
        <w:tc>
          <w:tcPr>
            <w:tcW w:w="1822" w:type="dxa"/>
            <w:noWrap w:val="0"/>
            <w:vAlign w:val="center"/>
          </w:tcPr>
          <w:p w14:paraId="7B8891B9">
            <w:pPr>
              <w:spacing w:line="400" w:lineRule="exact"/>
              <w:jc w:val="center"/>
              <w:rPr>
                <w:rFonts w:hint="eastAsia" w:ascii="方正黑体_GBK" w:hAnsi="方正黑体_GBK" w:eastAsia="方正黑体_GBK" w:cs="方正黑体_GBK"/>
                <w:snapToGrid w:val="0"/>
                <w:color w:val="000000"/>
                <w:kern w:val="0"/>
                <w:sz w:val="28"/>
                <w:szCs w:val="28"/>
                <w:vertAlign w:val="baseline"/>
                <w:lang w:val="en-US" w:eastAsia="zh-CN" w:bidi="ar-SA"/>
              </w:rPr>
            </w:pPr>
            <w:r>
              <w:rPr>
                <w:rFonts w:hint="eastAsia" w:ascii="宋体" w:hAnsi="宋体" w:eastAsia="宋体" w:cs="宋体"/>
                <w:b/>
                <w:color w:val="auto"/>
                <w:sz w:val="24"/>
                <w:szCs w:val="24"/>
                <w:highlight w:val="none"/>
                <w:lang w:val="en-US" w:eastAsia="zh-CN"/>
              </w:rPr>
              <w:t>合计（元）</w:t>
            </w:r>
          </w:p>
        </w:tc>
      </w:tr>
      <w:tr w14:paraId="6DF2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807" w:type="dxa"/>
            <w:noWrap w:val="0"/>
            <w:vAlign w:val="center"/>
          </w:tcPr>
          <w:p w14:paraId="27771F8B">
            <w:pPr>
              <w:spacing w:line="400" w:lineRule="exact"/>
              <w:jc w:val="center"/>
              <w:rPr>
                <w:rFonts w:hint="default"/>
                <w:sz w:val="24"/>
                <w:szCs w:val="24"/>
                <w:vertAlign w:val="baseline"/>
                <w:lang w:val="en-US" w:eastAsia="zh-CN"/>
              </w:rPr>
            </w:pPr>
            <w:r>
              <w:rPr>
                <w:rFonts w:hint="eastAsia" w:ascii="宋体" w:hAnsi="宋体" w:eastAsia="宋体" w:cs="宋体"/>
                <w:color w:val="auto"/>
                <w:sz w:val="24"/>
                <w:szCs w:val="24"/>
                <w:highlight w:val="none"/>
              </w:rPr>
              <w:t>1</w:t>
            </w:r>
          </w:p>
        </w:tc>
        <w:tc>
          <w:tcPr>
            <w:tcW w:w="2633" w:type="dxa"/>
            <w:noWrap w:val="0"/>
            <w:vAlign w:val="center"/>
          </w:tcPr>
          <w:p w14:paraId="431A908B">
            <w:pPr>
              <w:spacing w:line="400" w:lineRule="exact"/>
              <w:jc w:val="center"/>
              <w:rPr>
                <w:rFonts w:hint="default"/>
                <w:sz w:val="24"/>
                <w:szCs w:val="24"/>
                <w:vertAlign w:val="baseline"/>
                <w:lang w:val="en-US" w:eastAsia="zh-CN"/>
              </w:rPr>
            </w:pPr>
            <w:r>
              <w:rPr>
                <w:rFonts w:hint="eastAsia" w:ascii="宋体" w:hAnsi="宋体" w:eastAsia="宋体" w:cs="宋体"/>
                <w:color w:val="auto"/>
                <w:sz w:val="24"/>
                <w:szCs w:val="24"/>
                <w:highlight w:val="none"/>
                <w:lang w:val="en-US" w:eastAsia="zh-CN"/>
              </w:rPr>
              <w:t>全体职工健康体检服务</w:t>
            </w:r>
          </w:p>
        </w:tc>
        <w:tc>
          <w:tcPr>
            <w:tcW w:w="1412" w:type="dxa"/>
            <w:noWrap w:val="0"/>
            <w:vAlign w:val="center"/>
          </w:tcPr>
          <w:p w14:paraId="75D5CEA1">
            <w:pPr>
              <w:spacing w:line="400" w:lineRule="exact"/>
              <w:jc w:val="center"/>
              <w:rPr>
                <w:rFonts w:hint="default"/>
                <w:sz w:val="24"/>
                <w:szCs w:val="24"/>
                <w:vertAlign w:val="baseline"/>
                <w:lang w:val="en-US" w:eastAsia="zh-CN"/>
              </w:rPr>
            </w:pPr>
            <w:r>
              <w:rPr>
                <w:rFonts w:hint="eastAsia" w:ascii="宋体" w:hAnsi="宋体" w:eastAsia="宋体" w:cs="宋体"/>
                <w:b/>
                <w:bCs/>
                <w:color w:val="auto"/>
                <w:sz w:val="24"/>
                <w:szCs w:val="24"/>
                <w:highlight w:val="none"/>
                <w:lang w:val="en-US" w:eastAsia="zh-CN"/>
              </w:rPr>
              <w:t>174</w:t>
            </w:r>
          </w:p>
        </w:tc>
        <w:tc>
          <w:tcPr>
            <w:tcW w:w="1789" w:type="dxa"/>
            <w:noWrap w:val="0"/>
            <w:vAlign w:val="center"/>
          </w:tcPr>
          <w:p w14:paraId="7394AB57">
            <w:pPr>
              <w:spacing w:line="400" w:lineRule="exact"/>
              <w:jc w:val="center"/>
              <w:rPr>
                <w:rFonts w:hint="default"/>
                <w:sz w:val="24"/>
                <w:szCs w:val="24"/>
                <w:vertAlign w:val="baseline"/>
                <w:lang w:val="en-US" w:eastAsia="zh-CN"/>
              </w:rPr>
            </w:pPr>
          </w:p>
        </w:tc>
        <w:tc>
          <w:tcPr>
            <w:tcW w:w="1822" w:type="dxa"/>
            <w:noWrap w:val="0"/>
            <w:vAlign w:val="center"/>
          </w:tcPr>
          <w:p w14:paraId="659D8267">
            <w:pPr>
              <w:spacing w:line="400" w:lineRule="exact"/>
              <w:jc w:val="center"/>
              <w:rPr>
                <w:rFonts w:hint="default"/>
                <w:sz w:val="24"/>
                <w:szCs w:val="24"/>
                <w:vertAlign w:val="baseline"/>
                <w:lang w:val="en-US" w:eastAsia="zh-CN"/>
              </w:rPr>
            </w:pPr>
          </w:p>
        </w:tc>
      </w:tr>
      <w:tr w14:paraId="4123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8463" w:type="dxa"/>
            <w:gridSpan w:val="5"/>
            <w:noWrap w:val="0"/>
            <w:vAlign w:val="center"/>
          </w:tcPr>
          <w:p w14:paraId="5ED1F66B">
            <w:pPr>
              <w:spacing w:line="400" w:lineRule="exact"/>
              <w:jc w:val="center"/>
              <w:rPr>
                <w:rFonts w:hint="eastAsia" w:ascii="宋体" w:hAnsi="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总报价</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none"/>
                <w:lang w:val="en-US" w:eastAsia="zh-CN"/>
              </w:rPr>
              <w:t>元，大写：</w:t>
            </w:r>
            <w:r>
              <w:rPr>
                <w:rFonts w:hint="eastAsia" w:ascii="宋体" w:hAnsi="宋体" w:cs="宋体"/>
                <w:b/>
                <w:bCs/>
                <w:color w:val="auto"/>
                <w:sz w:val="24"/>
                <w:szCs w:val="24"/>
                <w:highlight w:val="none"/>
                <w:u w:val="none"/>
                <w:lang w:val="en-US" w:eastAsia="zh-CN"/>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u w:val="single"/>
                <w:lang w:val="en-US" w:eastAsia="zh-CN"/>
              </w:rPr>
              <w:t xml:space="preserve">           </w:t>
            </w:r>
          </w:p>
        </w:tc>
      </w:tr>
    </w:tbl>
    <w:p w14:paraId="0EE766F1">
      <w:pPr>
        <w:pStyle w:val="6"/>
        <w:keepNext w:val="0"/>
        <w:keepLines w:val="0"/>
        <w:pageBreakBefore w:val="0"/>
        <w:widowControl/>
        <w:kinsoku w:val="0"/>
        <w:wordWrap/>
        <w:overflowPunct/>
        <w:topLinePunct w:val="0"/>
        <w:autoSpaceDE w:val="0"/>
        <w:autoSpaceDN w:val="0"/>
        <w:bidi w:val="0"/>
        <w:adjustRightInd w:val="0"/>
        <w:snapToGrid w:val="0"/>
        <w:spacing w:line="580" w:lineRule="exact"/>
        <w:jc w:val="both"/>
        <w:textAlignment w:val="baseline"/>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报价明细表：</w:t>
      </w:r>
    </w:p>
    <w:tbl>
      <w:tblPr>
        <w:tblStyle w:val="3"/>
        <w:tblpPr w:leftFromText="180" w:rightFromText="180" w:vertAnchor="text" w:horzAnchor="page" w:tblpX="1277" w:tblpY="606"/>
        <w:tblOverlap w:val="never"/>
        <w:tblW w:w="107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240"/>
        <w:gridCol w:w="2579"/>
        <w:gridCol w:w="5712"/>
        <w:gridCol w:w="597"/>
        <w:gridCol w:w="597"/>
      </w:tblGrid>
      <w:tr w14:paraId="22FAC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40" w:hRule="atLeast"/>
        </w:trPr>
        <w:tc>
          <w:tcPr>
            <w:tcW w:w="1240" w:type="dxa"/>
            <w:tcBorders>
              <w:tl2br w:val="nil"/>
              <w:tr2bl w:val="nil"/>
            </w:tcBorders>
            <w:shd w:val="clear" w:color="auto" w:fill="auto"/>
            <w:vAlign w:val="center"/>
          </w:tcPr>
          <w:p w14:paraId="10C6315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项目</w:t>
            </w:r>
          </w:p>
        </w:tc>
        <w:tc>
          <w:tcPr>
            <w:tcW w:w="2579" w:type="dxa"/>
            <w:tcBorders>
              <w:tl2br w:val="nil"/>
              <w:tr2bl w:val="nil"/>
            </w:tcBorders>
            <w:shd w:val="clear" w:color="auto" w:fill="auto"/>
            <w:vAlign w:val="center"/>
          </w:tcPr>
          <w:p w14:paraId="64E73A74">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体检内容</w:t>
            </w:r>
          </w:p>
        </w:tc>
        <w:tc>
          <w:tcPr>
            <w:tcW w:w="5712" w:type="dxa"/>
            <w:tcBorders>
              <w:tl2br w:val="nil"/>
              <w:tr2bl w:val="nil"/>
            </w:tcBorders>
            <w:shd w:val="clear" w:color="auto" w:fill="auto"/>
            <w:vAlign w:val="center"/>
          </w:tcPr>
          <w:p w14:paraId="0E06626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体检意义</w:t>
            </w:r>
          </w:p>
        </w:tc>
        <w:tc>
          <w:tcPr>
            <w:tcW w:w="0" w:type="auto"/>
            <w:tcBorders>
              <w:tl2br w:val="nil"/>
              <w:tr2bl w:val="nil"/>
            </w:tcBorders>
            <w:shd w:val="clear" w:color="auto" w:fill="auto"/>
            <w:noWrap/>
            <w:vAlign w:val="center"/>
          </w:tcPr>
          <w:p w14:paraId="48F7DC4A">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男性</w:t>
            </w:r>
          </w:p>
        </w:tc>
        <w:tc>
          <w:tcPr>
            <w:tcW w:w="0" w:type="auto"/>
            <w:tcBorders>
              <w:tl2br w:val="nil"/>
              <w:tr2bl w:val="nil"/>
            </w:tcBorders>
            <w:shd w:val="clear" w:color="auto" w:fill="auto"/>
            <w:noWrap/>
            <w:vAlign w:val="center"/>
          </w:tcPr>
          <w:p w14:paraId="37B8634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女性</w:t>
            </w:r>
          </w:p>
        </w:tc>
      </w:tr>
      <w:tr w14:paraId="33F47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trPr>
        <w:tc>
          <w:tcPr>
            <w:tcW w:w="1240" w:type="dxa"/>
            <w:tcBorders>
              <w:tl2br w:val="nil"/>
              <w:tr2bl w:val="nil"/>
            </w:tcBorders>
            <w:shd w:val="clear" w:color="auto" w:fill="auto"/>
            <w:vAlign w:val="center"/>
          </w:tcPr>
          <w:p w14:paraId="721A826F">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一般检查</w:t>
            </w:r>
          </w:p>
        </w:tc>
        <w:tc>
          <w:tcPr>
            <w:tcW w:w="2579" w:type="dxa"/>
            <w:tcBorders>
              <w:tl2br w:val="nil"/>
              <w:tr2bl w:val="nil"/>
            </w:tcBorders>
            <w:shd w:val="clear" w:color="auto" w:fill="auto"/>
            <w:vAlign w:val="center"/>
          </w:tcPr>
          <w:p w14:paraId="0C1AD0B6">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身高、体重、血压、耳鼻喉等基础性检查</w:t>
            </w:r>
          </w:p>
        </w:tc>
        <w:tc>
          <w:tcPr>
            <w:tcW w:w="5712" w:type="dxa"/>
            <w:tcBorders>
              <w:tl2br w:val="nil"/>
              <w:tr2bl w:val="nil"/>
            </w:tcBorders>
            <w:shd w:val="clear" w:color="auto" w:fill="auto"/>
            <w:vAlign w:val="center"/>
          </w:tcPr>
          <w:p w14:paraId="608C1DAC">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了解身体基本情况，对进一步完善体检项目、体检结论很重要。</w:t>
            </w:r>
          </w:p>
        </w:tc>
        <w:tc>
          <w:tcPr>
            <w:tcW w:w="0" w:type="auto"/>
            <w:tcBorders>
              <w:tl2br w:val="nil"/>
              <w:tr2bl w:val="nil"/>
            </w:tcBorders>
            <w:shd w:val="clear" w:color="auto" w:fill="auto"/>
            <w:noWrap/>
            <w:vAlign w:val="center"/>
          </w:tcPr>
          <w:p w14:paraId="3B81CE05">
            <w:pPr>
              <w:rPr>
                <w:rFonts w:hint="eastAsia" w:ascii="宋体" w:hAnsi="宋体" w:eastAsia="宋体" w:cs="宋体"/>
                <w:i w:val="0"/>
                <w:iCs w:val="0"/>
                <w:color w:val="000000"/>
                <w:sz w:val="18"/>
                <w:szCs w:val="18"/>
                <w:u w:val="none"/>
              </w:rPr>
            </w:pPr>
          </w:p>
        </w:tc>
        <w:tc>
          <w:tcPr>
            <w:tcW w:w="0" w:type="auto"/>
            <w:tcBorders>
              <w:tl2br w:val="nil"/>
              <w:tr2bl w:val="nil"/>
            </w:tcBorders>
            <w:shd w:val="clear" w:color="auto" w:fill="auto"/>
            <w:noWrap/>
            <w:vAlign w:val="center"/>
          </w:tcPr>
          <w:p w14:paraId="323299AB">
            <w:pPr>
              <w:jc w:val="center"/>
              <w:rPr>
                <w:rFonts w:hint="eastAsia" w:ascii="微软雅黑" w:hAnsi="微软雅黑" w:eastAsia="微软雅黑" w:cs="微软雅黑"/>
                <w:i w:val="0"/>
                <w:iCs w:val="0"/>
                <w:color w:val="000000"/>
                <w:sz w:val="18"/>
                <w:szCs w:val="18"/>
                <w:u w:val="none"/>
              </w:rPr>
            </w:pPr>
          </w:p>
        </w:tc>
      </w:tr>
      <w:tr w14:paraId="3419E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40" w:type="dxa"/>
            <w:tcBorders>
              <w:tl2br w:val="nil"/>
              <w:tr2bl w:val="nil"/>
            </w:tcBorders>
            <w:shd w:val="clear" w:color="auto" w:fill="auto"/>
            <w:vAlign w:val="center"/>
          </w:tcPr>
          <w:p w14:paraId="160E21CE">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血常规</w:t>
            </w:r>
          </w:p>
        </w:tc>
        <w:tc>
          <w:tcPr>
            <w:tcW w:w="2579" w:type="dxa"/>
            <w:tcBorders>
              <w:tl2br w:val="nil"/>
              <w:tr2bl w:val="nil"/>
            </w:tcBorders>
            <w:shd w:val="clear" w:color="auto" w:fill="auto"/>
            <w:vAlign w:val="center"/>
          </w:tcPr>
          <w:p w14:paraId="60D09CB7">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血液分析18项</w:t>
            </w:r>
          </w:p>
        </w:tc>
        <w:tc>
          <w:tcPr>
            <w:tcW w:w="5712" w:type="dxa"/>
            <w:tcBorders>
              <w:tl2br w:val="nil"/>
              <w:tr2bl w:val="nil"/>
            </w:tcBorders>
            <w:shd w:val="clear" w:color="auto" w:fill="auto"/>
            <w:vAlign w:val="center"/>
          </w:tcPr>
          <w:p w14:paraId="3CC542F7">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通过检测血液细胞的计数及不同种类细胞、成分的分类来反映身体状况，如：贫血、感染、血液系统疾病、物理化学因素损伤等。</w:t>
            </w:r>
          </w:p>
        </w:tc>
        <w:tc>
          <w:tcPr>
            <w:tcW w:w="0" w:type="auto"/>
            <w:tcBorders>
              <w:tl2br w:val="nil"/>
              <w:tr2bl w:val="nil"/>
            </w:tcBorders>
            <w:shd w:val="clear" w:color="auto" w:fill="auto"/>
            <w:noWrap/>
            <w:vAlign w:val="center"/>
          </w:tcPr>
          <w:p w14:paraId="6990E140">
            <w:pPr>
              <w:jc w:val="center"/>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1923433D">
            <w:pPr>
              <w:jc w:val="center"/>
              <w:rPr>
                <w:rFonts w:hint="eastAsia" w:ascii="微软雅黑" w:hAnsi="微软雅黑" w:eastAsia="微软雅黑" w:cs="微软雅黑"/>
                <w:i w:val="0"/>
                <w:iCs w:val="0"/>
                <w:color w:val="000000"/>
                <w:sz w:val="18"/>
                <w:szCs w:val="18"/>
                <w:u w:val="none"/>
              </w:rPr>
            </w:pPr>
          </w:p>
        </w:tc>
      </w:tr>
      <w:tr w14:paraId="1A132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240" w:type="dxa"/>
            <w:tcBorders>
              <w:tl2br w:val="nil"/>
              <w:tr2bl w:val="nil"/>
            </w:tcBorders>
            <w:shd w:val="clear" w:color="auto" w:fill="auto"/>
            <w:vAlign w:val="center"/>
          </w:tcPr>
          <w:p w14:paraId="1C7CBCA6">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尿常规 </w:t>
            </w:r>
          </w:p>
        </w:tc>
        <w:tc>
          <w:tcPr>
            <w:tcW w:w="2579" w:type="dxa"/>
            <w:tcBorders>
              <w:tl2br w:val="nil"/>
              <w:tr2bl w:val="nil"/>
            </w:tcBorders>
            <w:shd w:val="clear" w:color="auto" w:fill="auto"/>
            <w:vAlign w:val="center"/>
          </w:tcPr>
          <w:p w14:paraId="4850BB33">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尿液分析（11）+镜检</w:t>
            </w:r>
          </w:p>
        </w:tc>
        <w:tc>
          <w:tcPr>
            <w:tcW w:w="5712" w:type="dxa"/>
            <w:vMerge w:val="restart"/>
            <w:tcBorders>
              <w:tl2br w:val="nil"/>
              <w:tr2bl w:val="nil"/>
            </w:tcBorders>
            <w:shd w:val="clear" w:color="auto" w:fill="auto"/>
            <w:vAlign w:val="center"/>
          </w:tcPr>
          <w:p w14:paraId="7E708B1A">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用于检查泌尿系统疾病，如泌尿系统感染、肿瘤、结石及了解肾功能.还可协助检查其他系统疾病，如：糖尿病、肝炎等</w:t>
            </w:r>
          </w:p>
        </w:tc>
        <w:tc>
          <w:tcPr>
            <w:tcW w:w="0" w:type="auto"/>
            <w:tcBorders>
              <w:tl2br w:val="nil"/>
              <w:tr2bl w:val="nil"/>
            </w:tcBorders>
            <w:shd w:val="clear" w:color="auto" w:fill="auto"/>
            <w:noWrap/>
            <w:vAlign w:val="center"/>
          </w:tcPr>
          <w:p w14:paraId="34E3D766">
            <w:pPr>
              <w:jc w:val="center"/>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64CD37E3">
            <w:pPr>
              <w:jc w:val="center"/>
              <w:rPr>
                <w:rFonts w:hint="eastAsia" w:ascii="微软雅黑" w:hAnsi="微软雅黑" w:eastAsia="微软雅黑" w:cs="微软雅黑"/>
                <w:i w:val="0"/>
                <w:iCs w:val="0"/>
                <w:color w:val="000000"/>
                <w:sz w:val="18"/>
                <w:szCs w:val="18"/>
                <w:u w:val="none"/>
              </w:rPr>
            </w:pPr>
          </w:p>
        </w:tc>
      </w:tr>
      <w:tr w14:paraId="4253C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240" w:type="dxa"/>
            <w:tcBorders>
              <w:tl2br w:val="nil"/>
              <w:tr2bl w:val="nil"/>
            </w:tcBorders>
            <w:shd w:val="clear" w:color="auto" w:fill="auto"/>
            <w:vAlign w:val="center"/>
          </w:tcPr>
          <w:p w14:paraId="4E20E2E1">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尿沉渣镜检</w:t>
            </w:r>
          </w:p>
        </w:tc>
        <w:tc>
          <w:tcPr>
            <w:tcW w:w="2579" w:type="dxa"/>
            <w:tcBorders>
              <w:tl2br w:val="nil"/>
              <w:tr2bl w:val="nil"/>
            </w:tcBorders>
            <w:shd w:val="clear" w:color="auto" w:fill="auto"/>
            <w:vAlign w:val="center"/>
          </w:tcPr>
          <w:p w14:paraId="7115F73E">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沉渣镜检</w:t>
            </w:r>
          </w:p>
        </w:tc>
        <w:tc>
          <w:tcPr>
            <w:tcW w:w="5712" w:type="dxa"/>
            <w:vMerge w:val="continue"/>
            <w:tcBorders>
              <w:tl2br w:val="nil"/>
              <w:tr2bl w:val="nil"/>
            </w:tcBorders>
            <w:shd w:val="clear" w:color="auto" w:fill="auto"/>
            <w:vAlign w:val="center"/>
          </w:tcPr>
          <w:p w14:paraId="6857FAB9">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18A06CF2">
            <w:pPr>
              <w:jc w:val="center"/>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074046F4">
            <w:pPr>
              <w:jc w:val="center"/>
              <w:rPr>
                <w:rFonts w:hint="eastAsia" w:ascii="微软雅黑" w:hAnsi="微软雅黑" w:eastAsia="微软雅黑" w:cs="微软雅黑"/>
                <w:i w:val="0"/>
                <w:iCs w:val="0"/>
                <w:color w:val="000000"/>
                <w:sz w:val="18"/>
                <w:szCs w:val="18"/>
                <w:u w:val="none"/>
              </w:rPr>
            </w:pPr>
          </w:p>
        </w:tc>
      </w:tr>
      <w:tr w14:paraId="1E537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40" w:type="dxa"/>
            <w:tcBorders>
              <w:tl2br w:val="nil"/>
              <w:tr2bl w:val="nil"/>
            </w:tcBorders>
            <w:shd w:val="clear" w:color="auto" w:fill="auto"/>
            <w:vAlign w:val="center"/>
          </w:tcPr>
          <w:p w14:paraId="7E6332B2">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肝功13项</w:t>
            </w:r>
          </w:p>
        </w:tc>
        <w:tc>
          <w:tcPr>
            <w:tcW w:w="2579" w:type="dxa"/>
            <w:tcBorders>
              <w:tl2br w:val="nil"/>
              <w:tr2bl w:val="nil"/>
            </w:tcBorders>
            <w:shd w:val="clear" w:color="auto" w:fill="auto"/>
            <w:vAlign w:val="center"/>
          </w:tcPr>
          <w:p w14:paraId="043F5115">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谷丙转氨酶(ALT)</w:t>
            </w:r>
          </w:p>
        </w:tc>
        <w:tc>
          <w:tcPr>
            <w:tcW w:w="5712" w:type="dxa"/>
            <w:tcBorders>
              <w:tl2br w:val="nil"/>
              <w:tr2bl w:val="nil"/>
            </w:tcBorders>
            <w:shd w:val="clear" w:color="auto" w:fill="auto"/>
            <w:vAlign w:val="center"/>
          </w:tcPr>
          <w:p w14:paraId="1BFBB300">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1、了解肝脏有无损伤及损伤的程度，动态观察病情变化。2、协助诊断病毒性肝炎及肝癌等疾病。</w:t>
            </w:r>
          </w:p>
        </w:tc>
        <w:tc>
          <w:tcPr>
            <w:tcW w:w="0" w:type="auto"/>
            <w:tcBorders>
              <w:tl2br w:val="nil"/>
              <w:tr2bl w:val="nil"/>
            </w:tcBorders>
            <w:shd w:val="clear" w:color="auto" w:fill="auto"/>
            <w:noWrap/>
            <w:vAlign w:val="center"/>
          </w:tcPr>
          <w:p w14:paraId="444CBA75">
            <w:pPr>
              <w:jc w:val="center"/>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4CC1F749">
            <w:pPr>
              <w:jc w:val="center"/>
              <w:rPr>
                <w:rFonts w:hint="eastAsia" w:ascii="微软雅黑" w:hAnsi="微软雅黑" w:eastAsia="微软雅黑" w:cs="微软雅黑"/>
                <w:i w:val="0"/>
                <w:iCs w:val="0"/>
                <w:color w:val="000000"/>
                <w:sz w:val="18"/>
                <w:szCs w:val="18"/>
                <w:u w:val="none"/>
              </w:rPr>
            </w:pPr>
          </w:p>
        </w:tc>
      </w:tr>
      <w:tr w14:paraId="1D4D2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rPr>
        <w:tc>
          <w:tcPr>
            <w:tcW w:w="1240" w:type="dxa"/>
            <w:tcBorders>
              <w:tl2br w:val="nil"/>
              <w:tr2bl w:val="nil"/>
            </w:tcBorders>
            <w:shd w:val="clear" w:color="auto" w:fill="auto"/>
            <w:vAlign w:val="center"/>
          </w:tcPr>
          <w:p w14:paraId="63E3405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肾功能检查5项</w:t>
            </w:r>
          </w:p>
        </w:tc>
        <w:tc>
          <w:tcPr>
            <w:tcW w:w="2579" w:type="dxa"/>
            <w:tcBorders>
              <w:tl2br w:val="nil"/>
              <w:tr2bl w:val="nil"/>
            </w:tcBorders>
            <w:shd w:val="clear" w:color="auto" w:fill="auto"/>
            <w:vAlign w:val="center"/>
          </w:tcPr>
          <w:p w14:paraId="601B071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肌酐（Cre）</w:t>
            </w:r>
          </w:p>
        </w:tc>
        <w:tc>
          <w:tcPr>
            <w:tcW w:w="5712" w:type="dxa"/>
            <w:tcBorders>
              <w:tl2br w:val="nil"/>
              <w:tr2bl w:val="nil"/>
            </w:tcBorders>
            <w:shd w:val="clear" w:color="auto" w:fill="auto"/>
            <w:vAlign w:val="center"/>
          </w:tcPr>
          <w:p w14:paraId="3632F6B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肌酐、尿素氮、尿酸、β2微球蛋白测定、内生肌酐清除率试验、血清胱抑素(CystatinC)测定等，了解肾功能及有无高尿酸血症</w:t>
            </w:r>
          </w:p>
        </w:tc>
        <w:tc>
          <w:tcPr>
            <w:tcW w:w="0" w:type="auto"/>
            <w:tcBorders>
              <w:tl2br w:val="nil"/>
              <w:tr2bl w:val="nil"/>
            </w:tcBorders>
            <w:shd w:val="clear" w:color="auto" w:fill="auto"/>
            <w:noWrap/>
            <w:vAlign w:val="center"/>
          </w:tcPr>
          <w:p w14:paraId="429D63B5">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71C2993A">
            <w:pPr>
              <w:jc w:val="left"/>
              <w:rPr>
                <w:rFonts w:hint="eastAsia" w:ascii="微软雅黑" w:hAnsi="微软雅黑" w:eastAsia="微软雅黑" w:cs="微软雅黑"/>
                <w:i w:val="0"/>
                <w:iCs w:val="0"/>
                <w:color w:val="000000"/>
                <w:sz w:val="18"/>
                <w:szCs w:val="18"/>
                <w:u w:val="none"/>
              </w:rPr>
            </w:pPr>
          </w:p>
        </w:tc>
      </w:tr>
      <w:tr w14:paraId="1ECB6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5" w:hRule="atLeast"/>
        </w:trPr>
        <w:tc>
          <w:tcPr>
            <w:tcW w:w="1240" w:type="dxa"/>
            <w:tcBorders>
              <w:tl2br w:val="nil"/>
              <w:tr2bl w:val="nil"/>
            </w:tcBorders>
            <w:shd w:val="clear" w:color="auto" w:fill="auto"/>
            <w:vAlign w:val="center"/>
          </w:tcPr>
          <w:p w14:paraId="061E0C1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血脂4项</w:t>
            </w:r>
          </w:p>
        </w:tc>
        <w:tc>
          <w:tcPr>
            <w:tcW w:w="2579" w:type="dxa"/>
            <w:tcBorders>
              <w:tl2br w:val="nil"/>
              <w:tr2bl w:val="nil"/>
            </w:tcBorders>
            <w:shd w:val="clear" w:color="auto" w:fill="auto"/>
            <w:vAlign w:val="center"/>
          </w:tcPr>
          <w:p w14:paraId="64C8558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总胆固醇(TC)、甘油三脂（TG）、高密度脂蛋白(HDL)、低密度脂蛋白(LDL)</w:t>
            </w:r>
          </w:p>
        </w:tc>
        <w:tc>
          <w:tcPr>
            <w:tcW w:w="5712" w:type="dxa"/>
            <w:tcBorders>
              <w:tl2br w:val="nil"/>
              <w:tr2bl w:val="nil"/>
            </w:tcBorders>
            <w:shd w:val="clear" w:color="auto" w:fill="auto"/>
            <w:vAlign w:val="center"/>
          </w:tcPr>
          <w:p w14:paraId="127BA33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测定血清中血脂含量，它们的增高或降低与动脉粥样硬化的形成有很大的关系。用于动脉粥样硬化、高血压、冠心病等疾病诊断和疗效观察。</w:t>
            </w:r>
          </w:p>
        </w:tc>
        <w:tc>
          <w:tcPr>
            <w:tcW w:w="0" w:type="auto"/>
            <w:tcBorders>
              <w:tl2br w:val="nil"/>
              <w:tr2bl w:val="nil"/>
            </w:tcBorders>
            <w:shd w:val="clear" w:color="auto" w:fill="auto"/>
            <w:noWrap/>
            <w:vAlign w:val="center"/>
          </w:tcPr>
          <w:p w14:paraId="2982CF0F">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68056A11">
            <w:pPr>
              <w:jc w:val="left"/>
              <w:rPr>
                <w:rFonts w:hint="eastAsia" w:ascii="微软雅黑" w:hAnsi="微软雅黑" w:eastAsia="微软雅黑" w:cs="微软雅黑"/>
                <w:i w:val="0"/>
                <w:iCs w:val="0"/>
                <w:color w:val="000000"/>
                <w:sz w:val="18"/>
                <w:szCs w:val="18"/>
                <w:u w:val="none"/>
              </w:rPr>
            </w:pPr>
          </w:p>
        </w:tc>
      </w:tr>
      <w:tr w14:paraId="0649E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0" w:type="auto"/>
            <w:tcBorders>
              <w:tl2br w:val="nil"/>
              <w:tr2bl w:val="nil"/>
            </w:tcBorders>
            <w:shd w:val="clear" w:color="auto" w:fill="auto"/>
            <w:noWrap/>
            <w:vAlign w:val="center"/>
          </w:tcPr>
          <w:p w14:paraId="794092A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甲功5项</w:t>
            </w:r>
          </w:p>
        </w:tc>
        <w:tc>
          <w:tcPr>
            <w:tcW w:w="0" w:type="auto"/>
            <w:tcBorders>
              <w:tl2br w:val="nil"/>
              <w:tr2bl w:val="nil"/>
            </w:tcBorders>
            <w:shd w:val="clear" w:color="auto" w:fill="auto"/>
            <w:noWrap/>
            <w:vAlign w:val="center"/>
          </w:tcPr>
          <w:p w14:paraId="63CF30A3">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FT3.FT4.TSH、T3、T4</w:t>
            </w:r>
          </w:p>
        </w:tc>
        <w:tc>
          <w:tcPr>
            <w:tcW w:w="5712" w:type="dxa"/>
            <w:tcBorders>
              <w:tl2br w:val="nil"/>
              <w:tr2bl w:val="nil"/>
            </w:tcBorders>
            <w:shd w:val="clear" w:color="auto" w:fill="auto"/>
            <w:vAlign w:val="center"/>
          </w:tcPr>
          <w:p w14:paraId="4668F8D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用于甲状腺功能评价、甲状腺疾病诊断及治疗监测。</w:t>
            </w:r>
          </w:p>
        </w:tc>
        <w:tc>
          <w:tcPr>
            <w:tcW w:w="0" w:type="auto"/>
            <w:tcBorders>
              <w:tl2br w:val="nil"/>
              <w:tr2bl w:val="nil"/>
            </w:tcBorders>
            <w:shd w:val="clear" w:color="auto" w:fill="auto"/>
            <w:noWrap/>
            <w:vAlign w:val="center"/>
          </w:tcPr>
          <w:p w14:paraId="5AD546EA">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54A71EA6">
            <w:pPr>
              <w:jc w:val="left"/>
              <w:rPr>
                <w:rFonts w:hint="eastAsia" w:ascii="微软雅黑" w:hAnsi="微软雅黑" w:eastAsia="微软雅黑" w:cs="微软雅黑"/>
                <w:i w:val="0"/>
                <w:iCs w:val="0"/>
                <w:color w:val="000000"/>
                <w:sz w:val="18"/>
                <w:szCs w:val="18"/>
                <w:u w:val="none"/>
              </w:rPr>
            </w:pPr>
          </w:p>
        </w:tc>
      </w:tr>
      <w:tr w14:paraId="78BCF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1240" w:type="dxa"/>
            <w:tcBorders>
              <w:tl2br w:val="nil"/>
              <w:tr2bl w:val="nil"/>
            </w:tcBorders>
            <w:shd w:val="clear" w:color="auto" w:fill="auto"/>
            <w:vAlign w:val="center"/>
          </w:tcPr>
          <w:p w14:paraId="29840BAA">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血糖</w:t>
            </w:r>
          </w:p>
        </w:tc>
        <w:tc>
          <w:tcPr>
            <w:tcW w:w="2579" w:type="dxa"/>
            <w:tcBorders>
              <w:tl2br w:val="nil"/>
              <w:tr2bl w:val="nil"/>
            </w:tcBorders>
            <w:shd w:val="clear" w:color="auto" w:fill="auto"/>
            <w:vAlign w:val="center"/>
          </w:tcPr>
          <w:p w14:paraId="56A371F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空腹血糖</w:t>
            </w:r>
          </w:p>
        </w:tc>
        <w:tc>
          <w:tcPr>
            <w:tcW w:w="5712" w:type="dxa"/>
            <w:tcBorders>
              <w:tl2br w:val="nil"/>
              <w:tr2bl w:val="nil"/>
            </w:tcBorders>
            <w:shd w:val="clear" w:color="auto" w:fill="auto"/>
            <w:vAlign w:val="center"/>
          </w:tcPr>
          <w:p w14:paraId="1830C14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评价人体空腹状态下糖代谢是否正常，评估糖尿病患者空腹血糖控制是否达标。诊断糖代谢紊乱的最常用和最重要指标。</w:t>
            </w:r>
          </w:p>
        </w:tc>
        <w:tc>
          <w:tcPr>
            <w:tcW w:w="0" w:type="auto"/>
            <w:tcBorders>
              <w:tl2br w:val="nil"/>
              <w:tr2bl w:val="nil"/>
            </w:tcBorders>
            <w:shd w:val="clear" w:color="auto" w:fill="auto"/>
            <w:noWrap/>
            <w:vAlign w:val="center"/>
          </w:tcPr>
          <w:p w14:paraId="7E6C1C19">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0ED16414">
            <w:pPr>
              <w:jc w:val="left"/>
              <w:rPr>
                <w:rFonts w:hint="eastAsia" w:ascii="微软雅黑" w:hAnsi="微软雅黑" w:eastAsia="微软雅黑" w:cs="微软雅黑"/>
                <w:i w:val="0"/>
                <w:iCs w:val="0"/>
                <w:color w:val="000000"/>
                <w:sz w:val="18"/>
                <w:szCs w:val="18"/>
                <w:u w:val="none"/>
              </w:rPr>
            </w:pPr>
          </w:p>
        </w:tc>
      </w:tr>
      <w:tr w14:paraId="66CBB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trPr>
        <w:tc>
          <w:tcPr>
            <w:tcW w:w="1240" w:type="dxa"/>
            <w:tcBorders>
              <w:tl2br w:val="nil"/>
              <w:tr2bl w:val="nil"/>
            </w:tcBorders>
            <w:shd w:val="clear" w:color="auto" w:fill="auto"/>
            <w:vAlign w:val="center"/>
          </w:tcPr>
          <w:p w14:paraId="1958581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肿瘤标志物3项</w:t>
            </w:r>
          </w:p>
        </w:tc>
        <w:tc>
          <w:tcPr>
            <w:tcW w:w="2579" w:type="dxa"/>
            <w:tcBorders>
              <w:tl2br w:val="nil"/>
              <w:tr2bl w:val="nil"/>
            </w:tcBorders>
            <w:shd w:val="clear" w:color="auto" w:fill="auto"/>
            <w:vAlign w:val="center"/>
          </w:tcPr>
          <w:p w14:paraId="0046634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AFP、CEA、CA-199 三项肿瘤标志物</w:t>
            </w:r>
          </w:p>
        </w:tc>
        <w:tc>
          <w:tcPr>
            <w:tcW w:w="5712" w:type="dxa"/>
            <w:tcBorders>
              <w:tl2br w:val="nil"/>
              <w:tr2bl w:val="nil"/>
            </w:tcBorders>
            <w:shd w:val="clear" w:color="auto" w:fill="auto"/>
            <w:vAlign w:val="center"/>
          </w:tcPr>
          <w:p w14:paraId="29884A5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排查是否有恶性肿瘤的可能</w:t>
            </w:r>
          </w:p>
        </w:tc>
        <w:tc>
          <w:tcPr>
            <w:tcW w:w="0" w:type="auto"/>
            <w:tcBorders>
              <w:tl2br w:val="nil"/>
              <w:tr2bl w:val="nil"/>
            </w:tcBorders>
            <w:shd w:val="clear" w:color="auto" w:fill="auto"/>
            <w:noWrap/>
            <w:vAlign w:val="center"/>
          </w:tcPr>
          <w:p w14:paraId="6A011046">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4ED683C9">
            <w:pPr>
              <w:jc w:val="left"/>
              <w:rPr>
                <w:rFonts w:hint="eastAsia" w:ascii="微软雅黑" w:hAnsi="微软雅黑" w:eastAsia="微软雅黑" w:cs="微软雅黑"/>
                <w:i w:val="0"/>
                <w:iCs w:val="0"/>
                <w:color w:val="000000"/>
                <w:sz w:val="18"/>
                <w:szCs w:val="18"/>
                <w:u w:val="none"/>
              </w:rPr>
            </w:pPr>
          </w:p>
        </w:tc>
      </w:tr>
      <w:tr w14:paraId="2F093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1240" w:type="dxa"/>
            <w:tcBorders>
              <w:tl2br w:val="nil"/>
              <w:tr2bl w:val="nil"/>
            </w:tcBorders>
            <w:shd w:val="clear" w:color="auto" w:fill="auto"/>
            <w:vAlign w:val="center"/>
          </w:tcPr>
          <w:p w14:paraId="13FDE147">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心电图</w:t>
            </w:r>
          </w:p>
        </w:tc>
        <w:tc>
          <w:tcPr>
            <w:tcW w:w="2579" w:type="dxa"/>
            <w:tcBorders>
              <w:tl2br w:val="nil"/>
              <w:tr2bl w:val="nil"/>
            </w:tcBorders>
            <w:shd w:val="clear" w:color="auto" w:fill="auto"/>
            <w:vAlign w:val="center"/>
          </w:tcPr>
          <w:p w14:paraId="5611314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心电图</w:t>
            </w:r>
          </w:p>
        </w:tc>
        <w:tc>
          <w:tcPr>
            <w:tcW w:w="5712" w:type="dxa"/>
            <w:tcBorders>
              <w:tl2br w:val="nil"/>
              <w:tr2bl w:val="nil"/>
            </w:tcBorders>
            <w:shd w:val="clear" w:color="auto" w:fill="auto"/>
            <w:vAlign w:val="center"/>
          </w:tcPr>
          <w:p w14:paraId="72A46D3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通过在体表特定部位同步记录和分析心脏每一个心动周期所产生电活动变化的曲线图形，为心脏疾病诊断、疗效评价、预后评估提供重要的依据。</w:t>
            </w:r>
          </w:p>
        </w:tc>
        <w:tc>
          <w:tcPr>
            <w:tcW w:w="0" w:type="auto"/>
            <w:tcBorders>
              <w:tl2br w:val="nil"/>
              <w:tr2bl w:val="nil"/>
            </w:tcBorders>
            <w:shd w:val="clear" w:color="auto" w:fill="auto"/>
            <w:noWrap/>
            <w:vAlign w:val="center"/>
          </w:tcPr>
          <w:p w14:paraId="74B755A7">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20A3190B">
            <w:pPr>
              <w:jc w:val="left"/>
              <w:rPr>
                <w:rFonts w:hint="eastAsia" w:ascii="微软雅黑" w:hAnsi="微软雅黑" w:eastAsia="微软雅黑" w:cs="微软雅黑"/>
                <w:i w:val="0"/>
                <w:iCs w:val="0"/>
                <w:color w:val="000000"/>
                <w:sz w:val="18"/>
                <w:szCs w:val="18"/>
                <w:u w:val="none"/>
              </w:rPr>
            </w:pPr>
          </w:p>
        </w:tc>
      </w:tr>
      <w:tr w14:paraId="7F625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1240" w:type="dxa"/>
            <w:tcBorders>
              <w:tl2br w:val="nil"/>
              <w:tr2bl w:val="nil"/>
            </w:tcBorders>
            <w:shd w:val="clear" w:color="auto" w:fill="auto"/>
            <w:vAlign w:val="center"/>
          </w:tcPr>
          <w:p w14:paraId="53A996D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骨密度检测</w:t>
            </w:r>
          </w:p>
        </w:tc>
        <w:tc>
          <w:tcPr>
            <w:tcW w:w="2579" w:type="dxa"/>
            <w:tcBorders>
              <w:tl2br w:val="nil"/>
              <w:tr2bl w:val="nil"/>
            </w:tcBorders>
            <w:shd w:val="clear" w:color="auto" w:fill="auto"/>
            <w:vAlign w:val="center"/>
          </w:tcPr>
          <w:p w14:paraId="1B6518F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骨密度</w:t>
            </w:r>
          </w:p>
        </w:tc>
        <w:tc>
          <w:tcPr>
            <w:tcW w:w="5712" w:type="dxa"/>
            <w:tcBorders>
              <w:tl2br w:val="nil"/>
              <w:tr2bl w:val="nil"/>
            </w:tcBorders>
            <w:shd w:val="clear" w:color="auto" w:fill="auto"/>
            <w:vAlign w:val="center"/>
          </w:tcPr>
          <w:p w14:paraId="7639D06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骨密度检测</w:t>
            </w:r>
          </w:p>
        </w:tc>
        <w:tc>
          <w:tcPr>
            <w:tcW w:w="0" w:type="auto"/>
            <w:tcBorders>
              <w:tl2br w:val="nil"/>
              <w:tr2bl w:val="nil"/>
            </w:tcBorders>
            <w:shd w:val="clear" w:color="auto" w:fill="auto"/>
            <w:noWrap/>
            <w:vAlign w:val="center"/>
          </w:tcPr>
          <w:p w14:paraId="3E36FC56">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5D5D7AD1">
            <w:pPr>
              <w:jc w:val="left"/>
              <w:rPr>
                <w:rFonts w:hint="eastAsia" w:ascii="微软雅黑" w:hAnsi="微软雅黑" w:eastAsia="微软雅黑" w:cs="微软雅黑"/>
                <w:i w:val="0"/>
                <w:iCs w:val="0"/>
                <w:color w:val="000000"/>
                <w:sz w:val="18"/>
                <w:szCs w:val="18"/>
                <w:u w:val="none"/>
              </w:rPr>
            </w:pPr>
          </w:p>
        </w:tc>
      </w:tr>
      <w:tr w14:paraId="1EFAD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1240" w:type="dxa"/>
            <w:tcBorders>
              <w:tl2br w:val="nil"/>
              <w:tr2bl w:val="nil"/>
            </w:tcBorders>
            <w:shd w:val="clear" w:color="auto" w:fill="auto"/>
            <w:vAlign w:val="center"/>
          </w:tcPr>
          <w:p w14:paraId="1C76B42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幽门螺旋杆菌检测</w:t>
            </w:r>
          </w:p>
        </w:tc>
        <w:tc>
          <w:tcPr>
            <w:tcW w:w="2579" w:type="dxa"/>
            <w:tcBorders>
              <w:tl2br w:val="nil"/>
              <w:tr2bl w:val="nil"/>
            </w:tcBorders>
            <w:shd w:val="clear" w:color="auto" w:fill="auto"/>
            <w:vAlign w:val="center"/>
          </w:tcPr>
          <w:p w14:paraId="6222B76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C13幽门螺旋杆菌抗体检测（吹气实验）</w:t>
            </w:r>
          </w:p>
        </w:tc>
        <w:tc>
          <w:tcPr>
            <w:tcW w:w="5712" w:type="dxa"/>
            <w:tcBorders>
              <w:tl2br w:val="nil"/>
              <w:tr2bl w:val="nil"/>
            </w:tcBorders>
            <w:shd w:val="clear" w:color="auto" w:fill="auto"/>
            <w:vAlign w:val="center"/>
          </w:tcPr>
          <w:p w14:paraId="2CFF642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检查幽门螺旋杆菌的有效方式，阳性可导致胃部炎症、溃疡、糜烂等疾病</w:t>
            </w:r>
          </w:p>
        </w:tc>
        <w:tc>
          <w:tcPr>
            <w:tcW w:w="0" w:type="auto"/>
            <w:tcBorders>
              <w:tl2br w:val="nil"/>
              <w:tr2bl w:val="nil"/>
            </w:tcBorders>
            <w:shd w:val="clear" w:color="auto" w:fill="auto"/>
            <w:noWrap/>
            <w:vAlign w:val="center"/>
          </w:tcPr>
          <w:p w14:paraId="2F2CE87D">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7062301B">
            <w:pPr>
              <w:jc w:val="left"/>
              <w:rPr>
                <w:rFonts w:hint="eastAsia" w:ascii="微软雅黑" w:hAnsi="微软雅黑" w:eastAsia="微软雅黑" w:cs="微软雅黑"/>
                <w:i w:val="0"/>
                <w:iCs w:val="0"/>
                <w:color w:val="000000"/>
                <w:sz w:val="18"/>
                <w:szCs w:val="18"/>
                <w:u w:val="none"/>
              </w:rPr>
            </w:pPr>
          </w:p>
        </w:tc>
      </w:tr>
      <w:tr w14:paraId="71F57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0" w:hRule="atLeast"/>
        </w:trPr>
        <w:tc>
          <w:tcPr>
            <w:tcW w:w="1240" w:type="dxa"/>
            <w:tcBorders>
              <w:tl2br w:val="nil"/>
              <w:tr2bl w:val="nil"/>
            </w:tcBorders>
            <w:shd w:val="clear" w:color="auto" w:fill="auto"/>
            <w:vAlign w:val="center"/>
          </w:tcPr>
          <w:p w14:paraId="4C5B772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腹部彩超</w:t>
            </w:r>
          </w:p>
        </w:tc>
        <w:tc>
          <w:tcPr>
            <w:tcW w:w="2579" w:type="dxa"/>
            <w:tcBorders>
              <w:tl2br w:val="nil"/>
              <w:tr2bl w:val="nil"/>
            </w:tcBorders>
            <w:shd w:val="clear" w:color="auto" w:fill="auto"/>
            <w:vAlign w:val="center"/>
          </w:tcPr>
          <w:p w14:paraId="41E8D7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上腹部彩超（肝、胆、脾、胰、双肾）</w:t>
            </w:r>
          </w:p>
        </w:tc>
        <w:tc>
          <w:tcPr>
            <w:tcW w:w="5712" w:type="dxa"/>
            <w:tcBorders>
              <w:tl2br w:val="nil"/>
              <w:tr2bl w:val="nil"/>
            </w:tcBorders>
            <w:shd w:val="clear" w:color="auto" w:fill="auto"/>
            <w:vAlign w:val="center"/>
          </w:tcPr>
          <w:p w14:paraId="45750D0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通过彩色超声仪器更清晰地对人体腹部内脏器官的状况和各种病变（如肿瘤、结石、积水、脂肪肝等）提供高清晰度的彩色动态超声断层图像判断，依病灶周围血管情况、病灶内血流血供情况-良恶性病变鉴别。</w:t>
            </w:r>
          </w:p>
        </w:tc>
        <w:tc>
          <w:tcPr>
            <w:tcW w:w="0" w:type="auto"/>
            <w:tcBorders>
              <w:tl2br w:val="nil"/>
              <w:tr2bl w:val="nil"/>
            </w:tcBorders>
            <w:shd w:val="clear" w:color="auto" w:fill="auto"/>
            <w:noWrap/>
            <w:vAlign w:val="center"/>
          </w:tcPr>
          <w:p w14:paraId="7EC0A4F6">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20A33F49">
            <w:pPr>
              <w:jc w:val="left"/>
              <w:rPr>
                <w:rFonts w:hint="eastAsia" w:ascii="微软雅黑" w:hAnsi="微软雅黑" w:eastAsia="微软雅黑" w:cs="微软雅黑"/>
                <w:i w:val="0"/>
                <w:iCs w:val="0"/>
                <w:color w:val="000000"/>
                <w:sz w:val="18"/>
                <w:szCs w:val="18"/>
                <w:u w:val="none"/>
              </w:rPr>
            </w:pPr>
          </w:p>
        </w:tc>
      </w:tr>
      <w:tr w14:paraId="4DA9A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5" w:hRule="atLeast"/>
        </w:trPr>
        <w:tc>
          <w:tcPr>
            <w:tcW w:w="1240" w:type="dxa"/>
            <w:tcBorders>
              <w:tl2br w:val="nil"/>
              <w:tr2bl w:val="nil"/>
            </w:tcBorders>
            <w:shd w:val="clear" w:color="auto" w:fill="auto"/>
            <w:vAlign w:val="center"/>
          </w:tcPr>
          <w:p w14:paraId="31FBD52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泌尿生殖系彩超（男）</w:t>
            </w:r>
          </w:p>
        </w:tc>
        <w:tc>
          <w:tcPr>
            <w:tcW w:w="2579" w:type="dxa"/>
            <w:tcBorders>
              <w:tl2br w:val="nil"/>
              <w:tr2bl w:val="nil"/>
            </w:tcBorders>
            <w:shd w:val="clear" w:color="auto" w:fill="auto"/>
            <w:vAlign w:val="center"/>
          </w:tcPr>
          <w:p w14:paraId="53D9F567">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下腹部彩超（前列腺、膀胱、输尿管）</w:t>
            </w:r>
          </w:p>
        </w:tc>
        <w:tc>
          <w:tcPr>
            <w:tcW w:w="5712" w:type="dxa"/>
            <w:tcBorders>
              <w:tl2br w:val="nil"/>
              <w:tr2bl w:val="nil"/>
            </w:tcBorders>
            <w:shd w:val="clear" w:color="auto" w:fill="auto"/>
            <w:vAlign w:val="center"/>
          </w:tcPr>
          <w:p w14:paraId="7A8C6FA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在膀胱充盈时，能更清晰地观察前列腺大小、形态、结构等情况，判断有无前列腺增大、囊肿、结石，恶性病变等，判断肾动脉狭窄等。</w:t>
            </w:r>
          </w:p>
        </w:tc>
        <w:tc>
          <w:tcPr>
            <w:tcW w:w="0" w:type="auto"/>
            <w:tcBorders>
              <w:tl2br w:val="nil"/>
              <w:tr2bl w:val="nil"/>
            </w:tcBorders>
            <w:shd w:val="clear" w:color="auto" w:fill="auto"/>
            <w:noWrap/>
            <w:vAlign w:val="center"/>
          </w:tcPr>
          <w:p w14:paraId="35C299F9">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71AB8A1A">
            <w:pPr>
              <w:jc w:val="left"/>
              <w:rPr>
                <w:rFonts w:hint="eastAsia" w:ascii="微软雅黑" w:hAnsi="微软雅黑" w:eastAsia="微软雅黑" w:cs="微软雅黑"/>
                <w:i w:val="0"/>
                <w:iCs w:val="0"/>
                <w:color w:val="000000"/>
                <w:sz w:val="18"/>
                <w:szCs w:val="18"/>
                <w:u w:val="none"/>
              </w:rPr>
            </w:pPr>
          </w:p>
        </w:tc>
      </w:tr>
      <w:tr w14:paraId="7BE03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5" w:hRule="atLeast"/>
        </w:trPr>
        <w:tc>
          <w:tcPr>
            <w:tcW w:w="1240" w:type="dxa"/>
            <w:tcBorders>
              <w:tl2br w:val="nil"/>
              <w:tr2bl w:val="nil"/>
            </w:tcBorders>
            <w:shd w:val="clear" w:color="auto" w:fill="auto"/>
            <w:vAlign w:val="center"/>
          </w:tcPr>
          <w:p w14:paraId="58DDA8B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泌尿生殖系彩超（女）</w:t>
            </w:r>
          </w:p>
        </w:tc>
        <w:tc>
          <w:tcPr>
            <w:tcW w:w="2579" w:type="dxa"/>
            <w:tcBorders>
              <w:tl2br w:val="nil"/>
              <w:tr2bl w:val="nil"/>
            </w:tcBorders>
            <w:shd w:val="clear" w:color="auto" w:fill="auto"/>
            <w:vAlign w:val="center"/>
          </w:tcPr>
          <w:p w14:paraId="470B0DF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下腹部彩超（子宫附件、膀胱、输尿管）</w:t>
            </w:r>
          </w:p>
        </w:tc>
        <w:tc>
          <w:tcPr>
            <w:tcW w:w="5712" w:type="dxa"/>
            <w:tcBorders>
              <w:tl2br w:val="nil"/>
              <w:tr2bl w:val="nil"/>
            </w:tcBorders>
            <w:shd w:val="clear" w:color="auto" w:fill="auto"/>
            <w:vAlign w:val="center"/>
          </w:tcPr>
          <w:p w14:paraId="1D15D76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观察子宫及附件（卵巢、输卵管）大小、形态结构及内部回声的情况，鉴别正常和异常，了解病变的性质，判别有无恶性病变，以便尽早处置，判断肾动脉狭窄等。</w:t>
            </w:r>
          </w:p>
        </w:tc>
        <w:tc>
          <w:tcPr>
            <w:tcW w:w="0" w:type="auto"/>
            <w:tcBorders>
              <w:tl2br w:val="nil"/>
              <w:tr2bl w:val="nil"/>
            </w:tcBorders>
            <w:shd w:val="clear" w:color="auto" w:fill="auto"/>
            <w:noWrap/>
            <w:vAlign w:val="center"/>
          </w:tcPr>
          <w:p w14:paraId="2983ECDD">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71B59629">
            <w:pPr>
              <w:jc w:val="left"/>
              <w:rPr>
                <w:rFonts w:hint="eastAsia" w:ascii="微软雅黑" w:hAnsi="微软雅黑" w:eastAsia="微软雅黑" w:cs="微软雅黑"/>
                <w:i w:val="0"/>
                <w:iCs w:val="0"/>
                <w:color w:val="000000"/>
                <w:sz w:val="18"/>
                <w:szCs w:val="18"/>
                <w:u w:val="none"/>
              </w:rPr>
            </w:pPr>
          </w:p>
        </w:tc>
      </w:tr>
      <w:tr w14:paraId="3C745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240" w:type="dxa"/>
            <w:tcBorders>
              <w:tl2br w:val="nil"/>
              <w:tr2bl w:val="nil"/>
            </w:tcBorders>
            <w:shd w:val="clear" w:color="auto" w:fill="auto"/>
            <w:vAlign w:val="center"/>
          </w:tcPr>
          <w:p w14:paraId="208D995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甲状腺彩超</w:t>
            </w:r>
          </w:p>
        </w:tc>
        <w:tc>
          <w:tcPr>
            <w:tcW w:w="2579" w:type="dxa"/>
            <w:tcBorders>
              <w:tl2br w:val="nil"/>
              <w:tr2bl w:val="nil"/>
            </w:tcBorders>
            <w:shd w:val="clear" w:color="auto" w:fill="auto"/>
            <w:vAlign w:val="center"/>
          </w:tcPr>
          <w:p w14:paraId="4067431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甲状腺彩超</w:t>
            </w:r>
          </w:p>
        </w:tc>
        <w:tc>
          <w:tcPr>
            <w:tcW w:w="5712" w:type="dxa"/>
            <w:tcBorders>
              <w:tl2br w:val="nil"/>
              <w:tr2bl w:val="nil"/>
            </w:tcBorders>
            <w:shd w:val="clear" w:color="auto" w:fill="auto"/>
            <w:vAlign w:val="center"/>
          </w:tcPr>
          <w:p w14:paraId="721B9DB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了解甲状腺有无形态学改变及占位性病变。</w:t>
            </w:r>
          </w:p>
        </w:tc>
        <w:tc>
          <w:tcPr>
            <w:tcW w:w="0" w:type="auto"/>
            <w:tcBorders>
              <w:tl2br w:val="nil"/>
              <w:tr2bl w:val="nil"/>
            </w:tcBorders>
            <w:shd w:val="clear" w:color="auto" w:fill="auto"/>
            <w:noWrap/>
            <w:vAlign w:val="center"/>
          </w:tcPr>
          <w:p w14:paraId="71C053ED">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5AE24AA3">
            <w:pPr>
              <w:jc w:val="left"/>
              <w:rPr>
                <w:rFonts w:hint="eastAsia" w:ascii="微软雅黑" w:hAnsi="微软雅黑" w:eastAsia="微软雅黑" w:cs="微软雅黑"/>
                <w:i w:val="0"/>
                <w:iCs w:val="0"/>
                <w:color w:val="000000"/>
                <w:sz w:val="18"/>
                <w:szCs w:val="18"/>
                <w:u w:val="none"/>
              </w:rPr>
            </w:pPr>
          </w:p>
        </w:tc>
      </w:tr>
      <w:tr w14:paraId="665A9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trPr>
        <w:tc>
          <w:tcPr>
            <w:tcW w:w="1240" w:type="dxa"/>
            <w:tcBorders>
              <w:tl2br w:val="nil"/>
              <w:tr2bl w:val="nil"/>
            </w:tcBorders>
            <w:shd w:val="clear" w:color="auto" w:fill="auto"/>
            <w:vAlign w:val="center"/>
          </w:tcPr>
          <w:p w14:paraId="55AA424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双乳腺彩超</w:t>
            </w:r>
          </w:p>
        </w:tc>
        <w:tc>
          <w:tcPr>
            <w:tcW w:w="2579" w:type="dxa"/>
            <w:tcBorders>
              <w:tl2br w:val="nil"/>
              <w:tr2bl w:val="nil"/>
            </w:tcBorders>
            <w:shd w:val="clear" w:color="auto" w:fill="auto"/>
            <w:vAlign w:val="center"/>
          </w:tcPr>
          <w:p w14:paraId="638896A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乳腺彩超（双侧）</w:t>
            </w:r>
          </w:p>
        </w:tc>
        <w:tc>
          <w:tcPr>
            <w:tcW w:w="5712" w:type="dxa"/>
            <w:tcBorders>
              <w:tl2br w:val="nil"/>
              <w:tr2bl w:val="nil"/>
            </w:tcBorders>
            <w:shd w:val="clear" w:color="auto" w:fill="auto"/>
            <w:vAlign w:val="center"/>
          </w:tcPr>
          <w:p w14:paraId="3C7691F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通过彩色超声仪器检查乳腺情况，有无结节等形态及占位性改变。发现乳腺增生、肿物、结节、囊肿、腺瘤、乳腺癌等病变。</w:t>
            </w:r>
          </w:p>
        </w:tc>
        <w:tc>
          <w:tcPr>
            <w:tcW w:w="0" w:type="auto"/>
            <w:tcBorders>
              <w:tl2br w:val="nil"/>
              <w:tr2bl w:val="nil"/>
            </w:tcBorders>
            <w:shd w:val="clear" w:color="auto" w:fill="auto"/>
            <w:noWrap/>
            <w:vAlign w:val="center"/>
          </w:tcPr>
          <w:p w14:paraId="25CA1222">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4BE41B80">
            <w:pPr>
              <w:jc w:val="left"/>
              <w:rPr>
                <w:rFonts w:hint="eastAsia" w:ascii="微软雅黑" w:hAnsi="微软雅黑" w:eastAsia="微软雅黑" w:cs="微软雅黑"/>
                <w:i w:val="0"/>
                <w:iCs w:val="0"/>
                <w:color w:val="000000"/>
                <w:sz w:val="18"/>
                <w:szCs w:val="18"/>
                <w:u w:val="none"/>
              </w:rPr>
            </w:pPr>
          </w:p>
        </w:tc>
      </w:tr>
      <w:tr w14:paraId="0FD46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0" w:hRule="atLeast"/>
        </w:trPr>
        <w:tc>
          <w:tcPr>
            <w:tcW w:w="1240" w:type="dxa"/>
            <w:tcBorders>
              <w:tl2br w:val="nil"/>
              <w:tr2bl w:val="nil"/>
            </w:tcBorders>
            <w:shd w:val="clear" w:color="auto" w:fill="auto"/>
            <w:vAlign w:val="center"/>
          </w:tcPr>
          <w:p w14:paraId="027AD2C4">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颈动脉彩超</w:t>
            </w:r>
          </w:p>
        </w:tc>
        <w:tc>
          <w:tcPr>
            <w:tcW w:w="2579" w:type="dxa"/>
            <w:tcBorders>
              <w:tl2br w:val="nil"/>
              <w:tr2bl w:val="nil"/>
            </w:tcBorders>
            <w:shd w:val="clear" w:color="auto" w:fill="auto"/>
            <w:vAlign w:val="center"/>
          </w:tcPr>
          <w:p w14:paraId="5C6A502E">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颈动脉彩超</w:t>
            </w:r>
          </w:p>
        </w:tc>
        <w:tc>
          <w:tcPr>
            <w:tcW w:w="5712" w:type="dxa"/>
            <w:tcBorders>
              <w:tl2br w:val="nil"/>
              <w:tr2bl w:val="nil"/>
            </w:tcBorders>
            <w:shd w:val="clear" w:color="auto" w:fill="auto"/>
            <w:vAlign w:val="center"/>
          </w:tcPr>
          <w:p w14:paraId="6C3D3F0C">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检测颈动脉结构和动脉粥样硬化斑形态、范围、性质、动脉狭窄程度等；早期发现动脉血管病变，为有效预防和减少冠心病、缺血性脑血管病等心脑血管疾病发病提供客观的血流动力学依据。</w:t>
            </w:r>
          </w:p>
        </w:tc>
        <w:tc>
          <w:tcPr>
            <w:tcW w:w="0" w:type="auto"/>
            <w:tcBorders>
              <w:tl2br w:val="nil"/>
              <w:tr2bl w:val="nil"/>
            </w:tcBorders>
            <w:shd w:val="clear" w:color="auto" w:fill="auto"/>
            <w:noWrap/>
            <w:vAlign w:val="center"/>
          </w:tcPr>
          <w:p w14:paraId="02D9C009">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104DB630">
            <w:pPr>
              <w:jc w:val="left"/>
              <w:rPr>
                <w:rFonts w:hint="eastAsia" w:ascii="微软雅黑" w:hAnsi="微软雅黑" w:eastAsia="微软雅黑" w:cs="微软雅黑"/>
                <w:i w:val="0"/>
                <w:iCs w:val="0"/>
                <w:color w:val="000000"/>
                <w:sz w:val="18"/>
                <w:szCs w:val="18"/>
                <w:u w:val="none"/>
              </w:rPr>
            </w:pPr>
          </w:p>
        </w:tc>
      </w:tr>
      <w:tr w14:paraId="4F829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rPr>
        <w:tc>
          <w:tcPr>
            <w:tcW w:w="1240" w:type="dxa"/>
            <w:tcBorders>
              <w:tl2br w:val="nil"/>
              <w:tr2bl w:val="nil"/>
            </w:tcBorders>
            <w:shd w:val="clear" w:color="auto" w:fill="auto"/>
            <w:vAlign w:val="center"/>
          </w:tcPr>
          <w:p w14:paraId="1D50272F">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低剂量螺旋CT</w:t>
            </w:r>
          </w:p>
        </w:tc>
        <w:tc>
          <w:tcPr>
            <w:tcW w:w="2579" w:type="dxa"/>
            <w:tcBorders>
              <w:tl2br w:val="nil"/>
              <w:tr2bl w:val="nil"/>
            </w:tcBorders>
            <w:shd w:val="clear" w:color="auto" w:fill="auto"/>
            <w:vAlign w:val="center"/>
          </w:tcPr>
          <w:p w14:paraId="0E0FA934">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肺部CT</w:t>
            </w:r>
          </w:p>
        </w:tc>
        <w:tc>
          <w:tcPr>
            <w:tcW w:w="5712" w:type="dxa"/>
            <w:tcBorders>
              <w:tl2br w:val="nil"/>
              <w:tr2bl w:val="nil"/>
            </w:tcBorders>
            <w:shd w:val="clear" w:color="auto" w:fill="auto"/>
            <w:vAlign w:val="center"/>
          </w:tcPr>
          <w:p w14:paraId="7B184077">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低剂量螺旋CT是进行肺癌早期筛查的最有效的手段。检查心脏、两肺、纵隔、膈、胸膜，判断有无炎症、肿瘤等。</w:t>
            </w:r>
          </w:p>
        </w:tc>
        <w:tc>
          <w:tcPr>
            <w:tcW w:w="0" w:type="auto"/>
            <w:tcBorders>
              <w:tl2br w:val="nil"/>
              <w:tr2bl w:val="nil"/>
            </w:tcBorders>
            <w:shd w:val="clear" w:color="auto" w:fill="auto"/>
            <w:noWrap/>
            <w:vAlign w:val="center"/>
          </w:tcPr>
          <w:p w14:paraId="1A7834D4">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657AE1B2">
            <w:pPr>
              <w:jc w:val="left"/>
              <w:rPr>
                <w:rFonts w:hint="eastAsia" w:ascii="微软雅黑" w:hAnsi="微软雅黑" w:eastAsia="微软雅黑" w:cs="微软雅黑"/>
                <w:i w:val="0"/>
                <w:iCs w:val="0"/>
                <w:color w:val="000000"/>
                <w:sz w:val="18"/>
                <w:szCs w:val="18"/>
                <w:u w:val="none"/>
              </w:rPr>
            </w:pPr>
          </w:p>
        </w:tc>
      </w:tr>
      <w:tr w14:paraId="1D575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40" w:type="dxa"/>
            <w:tcBorders>
              <w:tl2br w:val="nil"/>
              <w:tr2bl w:val="nil"/>
            </w:tcBorders>
            <w:shd w:val="clear" w:color="auto" w:fill="auto"/>
            <w:vAlign w:val="center"/>
          </w:tcPr>
          <w:p w14:paraId="136E1A5E">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妇科检查</w:t>
            </w:r>
          </w:p>
        </w:tc>
        <w:tc>
          <w:tcPr>
            <w:tcW w:w="2579" w:type="dxa"/>
            <w:tcBorders>
              <w:tl2br w:val="nil"/>
              <w:tr2bl w:val="nil"/>
            </w:tcBorders>
            <w:shd w:val="clear" w:color="auto" w:fill="auto"/>
            <w:vAlign w:val="center"/>
          </w:tcPr>
          <w:p w14:paraId="06CC2EC9">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外阴、阴道、子宫颈等妇科常规</w:t>
            </w:r>
          </w:p>
        </w:tc>
        <w:tc>
          <w:tcPr>
            <w:tcW w:w="5712" w:type="dxa"/>
            <w:tcBorders>
              <w:tl2br w:val="nil"/>
              <w:tr2bl w:val="nil"/>
            </w:tcBorders>
            <w:shd w:val="clear" w:color="auto" w:fill="auto"/>
            <w:vAlign w:val="center"/>
          </w:tcPr>
          <w:p w14:paraId="4C2D9547">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了解外阴、阴道、宫颈、子宫、双侧输卵管及卵巢情况</w:t>
            </w:r>
          </w:p>
        </w:tc>
        <w:tc>
          <w:tcPr>
            <w:tcW w:w="0" w:type="auto"/>
            <w:tcBorders>
              <w:tl2br w:val="nil"/>
              <w:tr2bl w:val="nil"/>
            </w:tcBorders>
            <w:shd w:val="clear" w:color="auto" w:fill="auto"/>
            <w:noWrap/>
            <w:vAlign w:val="center"/>
          </w:tcPr>
          <w:p w14:paraId="703906C4">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0C3EAED5">
            <w:pPr>
              <w:jc w:val="left"/>
              <w:rPr>
                <w:rFonts w:hint="eastAsia" w:ascii="微软雅黑" w:hAnsi="微软雅黑" w:eastAsia="微软雅黑" w:cs="微软雅黑"/>
                <w:i w:val="0"/>
                <w:iCs w:val="0"/>
                <w:color w:val="000000"/>
                <w:sz w:val="18"/>
                <w:szCs w:val="18"/>
                <w:u w:val="none"/>
              </w:rPr>
            </w:pPr>
          </w:p>
        </w:tc>
      </w:tr>
      <w:tr w14:paraId="151D6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1240" w:type="dxa"/>
            <w:tcBorders>
              <w:tl2br w:val="nil"/>
              <w:tr2bl w:val="nil"/>
            </w:tcBorders>
            <w:shd w:val="clear" w:color="auto" w:fill="auto"/>
            <w:vAlign w:val="center"/>
          </w:tcPr>
          <w:p w14:paraId="12F1A246">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白带常规</w:t>
            </w:r>
          </w:p>
        </w:tc>
        <w:tc>
          <w:tcPr>
            <w:tcW w:w="2579" w:type="dxa"/>
            <w:tcBorders>
              <w:tl2br w:val="nil"/>
              <w:tr2bl w:val="nil"/>
            </w:tcBorders>
            <w:shd w:val="clear" w:color="auto" w:fill="auto"/>
            <w:vAlign w:val="center"/>
          </w:tcPr>
          <w:p w14:paraId="5A33302C">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白带常规</w:t>
            </w:r>
          </w:p>
        </w:tc>
        <w:tc>
          <w:tcPr>
            <w:tcW w:w="5712" w:type="dxa"/>
            <w:tcBorders>
              <w:tl2br w:val="nil"/>
              <w:tr2bl w:val="nil"/>
            </w:tcBorders>
            <w:shd w:val="clear" w:color="auto" w:fill="auto"/>
            <w:vAlign w:val="center"/>
          </w:tcPr>
          <w:p w14:paraId="7218A5DE">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检查阴道清洁度，有无霉菌性阴道炎、滴虫性阴道炎；是筛查阴道炎的有效手段。</w:t>
            </w:r>
          </w:p>
        </w:tc>
        <w:tc>
          <w:tcPr>
            <w:tcW w:w="0" w:type="auto"/>
            <w:tcBorders>
              <w:tl2br w:val="nil"/>
              <w:tr2bl w:val="nil"/>
            </w:tcBorders>
            <w:shd w:val="clear" w:color="auto" w:fill="auto"/>
            <w:noWrap/>
            <w:vAlign w:val="center"/>
          </w:tcPr>
          <w:p w14:paraId="2D7D0AFA">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14CE83B0">
            <w:pPr>
              <w:jc w:val="left"/>
              <w:rPr>
                <w:rFonts w:hint="eastAsia" w:ascii="微软雅黑" w:hAnsi="微软雅黑" w:eastAsia="微软雅黑" w:cs="微软雅黑"/>
                <w:i w:val="0"/>
                <w:iCs w:val="0"/>
                <w:color w:val="000000"/>
                <w:sz w:val="18"/>
                <w:szCs w:val="18"/>
                <w:u w:val="none"/>
              </w:rPr>
            </w:pPr>
          </w:p>
        </w:tc>
      </w:tr>
      <w:tr w14:paraId="7E902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1240" w:type="dxa"/>
            <w:tcBorders>
              <w:tl2br w:val="nil"/>
              <w:tr2bl w:val="nil"/>
            </w:tcBorders>
            <w:shd w:val="clear" w:color="auto" w:fill="auto"/>
            <w:vAlign w:val="center"/>
          </w:tcPr>
          <w:p w14:paraId="534613B3">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液基薄层细胞检测</w:t>
            </w:r>
          </w:p>
        </w:tc>
        <w:tc>
          <w:tcPr>
            <w:tcW w:w="2579" w:type="dxa"/>
            <w:tcBorders>
              <w:tl2br w:val="nil"/>
              <w:tr2bl w:val="nil"/>
            </w:tcBorders>
            <w:shd w:val="clear" w:color="auto" w:fill="auto"/>
            <w:vAlign w:val="center"/>
          </w:tcPr>
          <w:p w14:paraId="3838C786">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宫颈TCT</w:t>
            </w:r>
          </w:p>
        </w:tc>
        <w:tc>
          <w:tcPr>
            <w:tcW w:w="5712" w:type="dxa"/>
            <w:tcBorders>
              <w:tl2br w:val="nil"/>
              <w:tr2bl w:val="nil"/>
            </w:tcBorders>
            <w:shd w:val="clear" w:color="auto" w:fill="auto"/>
            <w:vAlign w:val="center"/>
          </w:tcPr>
          <w:p w14:paraId="7AD4EB4D">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即液基薄层细胞学检查。是筛查宫颈早期病变较先进的检测方法，同时还能发现部分癌前病变，微生物感染如霉菌、滴虫、病毒、衣原体、人乳头瘤病毒等。</w:t>
            </w:r>
          </w:p>
        </w:tc>
        <w:tc>
          <w:tcPr>
            <w:tcW w:w="0" w:type="auto"/>
            <w:tcBorders>
              <w:tl2br w:val="nil"/>
              <w:tr2bl w:val="nil"/>
            </w:tcBorders>
            <w:shd w:val="clear" w:color="auto" w:fill="auto"/>
            <w:noWrap/>
            <w:vAlign w:val="center"/>
          </w:tcPr>
          <w:p w14:paraId="420737CE">
            <w:pPr>
              <w:jc w:val="left"/>
              <w:rPr>
                <w:rFonts w:hint="eastAsia" w:ascii="微软雅黑" w:hAnsi="微软雅黑" w:eastAsia="微软雅黑" w:cs="微软雅黑"/>
                <w:i w:val="0"/>
                <w:iCs w:val="0"/>
                <w:color w:val="000000"/>
                <w:sz w:val="18"/>
                <w:szCs w:val="18"/>
                <w:u w:val="none"/>
              </w:rPr>
            </w:pPr>
          </w:p>
        </w:tc>
        <w:tc>
          <w:tcPr>
            <w:tcW w:w="0" w:type="auto"/>
            <w:tcBorders>
              <w:tl2br w:val="nil"/>
              <w:tr2bl w:val="nil"/>
            </w:tcBorders>
            <w:shd w:val="clear" w:color="auto" w:fill="auto"/>
            <w:noWrap/>
            <w:vAlign w:val="center"/>
          </w:tcPr>
          <w:p w14:paraId="02936CB2">
            <w:pPr>
              <w:jc w:val="left"/>
              <w:rPr>
                <w:rFonts w:hint="eastAsia" w:ascii="微软雅黑" w:hAnsi="微软雅黑" w:eastAsia="微软雅黑" w:cs="微软雅黑"/>
                <w:i w:val="0"/>
                <w:iCs w:val="0"/>
                <w:color w:val="000000"/>
                <w:sz w:val="18"/>
                <w:szCs w:val="18"/>
                <w:u w:val="none"/>
              </w:rPr>
            </w:pPr>
          </w:p>
        </w:tc>
      </w:tr>
    </w:tbl>
    <w:p w14:paraId="7B516609">
      <w:pPr>
        <w:jc w:val="left"/>
      </w:pP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2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83819"/>
    <w:rsid w:val="0AF5286B"/>
    <w:rsid w:val="0D754799"/>
    <w:rsid w:val="2AA607D0"/>
    <w:rsid w:val="6A345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Default"/>
    <w:basedOn w:val="1"/>
    <w:next w:val="7"/>
    <w:qFormat/>
    <w:uiPriority w:val="0"/>
    <w:pPr>
      <w:widowControl/>
      <w:autoSpaceDE w:val="0"/>
      <w:autoSpaceDN w:val="0"/>
      <w:jc w:val="left"/>
    </w:pPr>
    <w:rPr>
      <w:rFonts w:ascii="黑体" w:hAnsi="黑体" w:eastAsia="黑体" w:cs="宋体"/>
      <w:color w:val="000000"/>
      <w:kern w:val="0"/>
      <w:sz w:val="24"/>
    </w:rPr>
  </w:style>
  <w:style w:type="paragraph" w:customStyle="1" w:styleId="7">
    <w:name w:val="toc 21"/>
    <w:next w:val="1"/>
    <w:qFormat/>
    <w:uiPriority w:val="0"/>
    <w:pPr>
      <w:wordWrap w:val="0"/>
      <w:ind w:left="425"/>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1757</Words>
  <Characters>1842</Characters>
  <Lines>0</Lines>
  <Paragraphs>0</Paragraphs>
  <TotalTime>8</TotalTime>
  <ScaleCrop>false</ScaleCrop>
  <LinksUpToDate>false</LinksUpToDate>
  <CharactersWithSpaces>1873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2026-07-17T03:44:00Z</dcterms:created>
  <dc:creator>Administrator</dc:creator>
  <cp:lastModifiedBy>南雪</cp:lastModifiedBy>
  <dcterms:modified xsi:type="dcterms:W3CDTF">2026-07-21T01:36:26Z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eyJoZGlkIjoiNGZmZjQ0OGIxMmRjMjQ4ZWIwMjhhNTE1MGJiMDQyNDciLCJ1c2VySWQiOiIxMDMzNzQxNTMwIn0=</vt:lpwstr>
  </property>
  <property fmtid="{D5CDD505-2E9C-101B-9397-08002B2CF9AE}" pid="4" name="ICV">
    <vt:lpwstr>B1195936E59646BC81976611DD65E4D9_12</vt:lpwstr>
  </property>
</Properties>
</file>