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C2BA1">
      <w:pPr>
        <w:keepNext w:val="0"/>
        <w:keepLines w:val="0"/>
        <w:widowControl/>
        <w:suppressLineNumbers w:val="0"/>
        <w:jc w:val="left"/>
        <w:rPr>
          <w:rFonts w:hint="eastAsia" w:ascii="微软雅黑" w:hAnsi="微软雅黑" w:eastAsia="微软雅黑" w:cs="微软雅黑"/>
          <w:color w:val="auto"/>
          <w:kern w:val="0"/>
          <w:sz w:val="24"/>
          <w:szCs w:val="24"/>
          <w:lang w:val="en-US" w:eastAsia="zh-CN" w:bidi="ar"/>
        </w:rPr>
      </w:pPr>
      <w:r>
        <w:rPr>
          <w:rFonts w:hint="eastAsia" w:ascii="微软雅黑" w:hAnsi="微软雅黑" w:eastAsia="微软雅黑" w:cs="微软雅黑"/>
          <w:color w:val="auto"/>
          <w:kern w:val="0"/>
          <w:sz w:val="24"/>
          <w:szCs w:val="24"/>
          <w:lang w:val="en-US" w:eastAsia="zh-CN" w:bidi="ar"/>
        </w:rPr>
        <w:t>附件2：</w:t>
      </w:r>
    </w:p>
    <w:p w14:paraId="7B755215">
      <w:pPr>
        <w:spacing w:line="600" w:lineRule="exact"/>
        <w:jc w:val="center"/>
        <w:rPr>
          <w:rFonts w:hint="default" w:ascii="方正小标宋_GBK" w:hAnsi="仿宋" w:eastAsia="方正小标宋_GBK" w:cs="仿宋"/>
          <w:color w:val="000000"/>
          <w:sz w:val="44"/>
          <w:szCs w:val="44"/>
          <w:lang w:val="en-US" w:eastAsia="zh-CN"/>
        </w:rPr>
      </w:pPr>
      <w:r>
        <w:rPr>
          <w:rFonts w:hint="eastAsia" w:ascii="方正小标宋_GBK" w:hAnsi="仿宋" w:eastAsia="方正小标宋_GBK" w:cs="仿宋"/>
          <w:color w:val="000000"/>
          <w:sz w:val="44"/>
          <w:szCs w:val="44"/>
          <w:lang w:eastAsia="zh-CN"/>
        </w:rPr>
        <w:t>（</w:t>
      </w:r>
      <w:r>
        <w:rPr>
          <w:rFonts w:hint="eastAsia" w:ascii="方正小标宋_GBK" w:hAnsi="仿宋" w:eastAsia="方正小标宋_GBK" w:cs="仿宋"/>
          <w:color w:val="000000"/>
          <w:sz w:val="44"/>
          <w:szCs w:val="44"/>
          <w:lang w:val="en-US" w:eastAsia="zh-CN"/>
        </w:rPr>
        <w:t>供应商）</w:t>
      </w:r>
    </w:p>
    <w:p w14:paraId="6451EF66">
      <w:pPr>
        <w:spacing w:line="600" w:lineRule="exact"/>
        <w:jc w:val="center"/>
        <w:rPr>
          <w:rFonts w:hint="eastAsia" w:ascii="方正小标宋_GBK" w:hAnsi="仿宋" w:eastAsia="方正小标宋_GBK" w:cs="仿宋"/>
          <w:color w:val="000000"/>
          <w:sz w:val="44"/>
          <w:szCs w:val="44"/>
          <w:lang w:val="en-US" w:eastAsia="zh-CN"/>
        </w:rPr>
      </w:pPr>
      <w:r>
        <w:rPr>
          <w:rFonts w:hint="eastAsia" w:ascii="方正小标宋_GBK" w:hAnsi="仿宋" w:eastAsia="方正小标宋_GBK" w:cs="仿宋"/>
          <w:color w:val="000000"/>
          <w:sz w:val="44"/>
          <w:szCs w:val="44"/>
        </w:rPr>
        <w:t>关于</w:t>
      </w:r>
      <w:r>
        <w:rPr>
          <w:rFonts w:hint="eastAsia" w:ascii="方正小标宋_GBK" w:hAnsi="仿宋" w:eastAsia="方正小标宋_GBK" w:cs="仿宋"/>
          <w:color w:val="000000"/>
          <w:sz w:val="44"/>
          <w:szCs w:val="44"/>
          <w:lang w:val="en-US" w:eastAsia="zh-CN"/>
        </w:rPr>
        <w:t>成都金沙遗址博物馆2026年度职工</w:t>
      </w:r>
    </w:p>
    <w:p w14:paraId="2E771D73">
      <w:pPr>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lang w:val="en-US" w:eastAsia="zh-CN"/>
        </w:rPr>
        <w:t>体检服务采购</w:t>
      </w:r>
      <w:r>
        <w:rPr>
          <w:rFonts w:hint="eastAsia" w:ascii="方正小标宋_GBK" w:hAnsi="方正小标宋_GBK" w:eastAsia="方正小标宋_GBK" w:cs="方正小标宋_GBK"/>
          <w:color w:val="000000"/>
          <w:sz w:val="44"/>
          <w:szCs w:val="44"/>
        </w:rPr>
        <w:t>项目</w:t>
      </w:r>
      <w:r>
        <w:rPr>
          <w:rFonts w:hint="eastAsia" w:ascii="方正小标宋_GBK" w:hAnsi="仿宋" w:eastAsia="方正小标宋_GBK" w:cs="仿宋"/>
          <w:color w:val="000000"/>
          <w:sz w:val="44"/>
          <w:szCs w:val="44"/>
        </w:rPr>
        <w:t>报价明细表</w:t>
      </w:r>
    </w:p>
    <w:p w14:paraId="17E6303C">
      <w:pPr>
        <w:pStyle w:val="3"/>
        <w:rPr>
          <w:rFonts w:hint="default"/>
          <w:color w:val="auto"/>
          <w:sz w:val="24"/>
          <w:szCs w:val="24"/>
          <w:lang w:val="en-US" w:eastAsia="zh-CN"/>
        </w:rPr>
      </w:pPr>
    </w:p>
    <w:p w14:paraId="338073CB">
      <w:pPr>
        <w:pStyle w:val="8"/>
        <w:keepNext w:val="0"/>
        <w:keepLines w:val="0"/>
        <w:pageBreakBefore w:val="0"/>
        <w:widowControl/>
        <w:kinsoku w:val="0"/>
        <w:wordWrap/>
        <w:overflowPunct/>
        <w:topLinePunct w:val="0"/>
        <w:autoSpaceDE w:val="0"/>
        <w:autoSpaceDN w:val="0"/>
        <w:bidi w:val="0"/>
        <w:adjustRightInd w:val="0"/>
        <w:snapToGrid w:val="0"/>
        <w:spacing w:line="580" w:lineRule="exact"/>
        <w:jc w:val="both"/>
        <w:textAlignment w:val="baseline"/>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成都</w:t>
      </w:r>
      <w:r>
        <w:rPr>
          <w:rFonts w:hint="eastAsia" w:ascii="方正仿宋_GBK" w:hAnsi="方正仿宋_GBK" w:eastAsia="方正仿宋_GBK" w:cs="方正仿宋_GBK"/>
          <w:sz w:val="32"/>
          <w:szCs w:val="32"/>
          <w:lang w:val="en-US" w:eastAsia="zh-CN"/>
        </w:rPr>
        <w:t>金沙遗址博物馆</w:t>
      </w:r>
      <w:r>
        <w:rPr>
          <w:rFonts w:hint="eastAsia" w:ascii="方正仿宋_GBK" w:hAnsi="方正仿宋_GBK" w:eastAsia="方正仿宋_GBK" w:cs="方正仿宋_GBK"/>
          <w:sz w:val="32"/>
          <w:szCs w:val="32"/>
          <w:lang w:eastAsia="zh-CN"/>
        </w:rPr>
        <w:t>：</w:t>
      </w:r>
    </w:p>
    <w:p w14:paraId="10EDD46D">
      <w:pPr>
        <w:pStyle w:val="8"/>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根据贵单位关于</w:t>
      </w:r>
      <w:r>
        <w:rPr>
          <w:rFonts w:hint="eastAsia" w:ascii="方正仿宋_GBK" w:hAnsi="方正仿宋_GBK" w:eastAsia="方正仿宋_GBK" w:cs="方正仿宋_GBK"/>
          <w:sz w:val="32"/>
          <w:szCs w:val="32"/>
          <w:lang w:val="en-US" w:eastAsia="zh-CN"/>
        </w:rPr>
        <w:t>2026</w:t>
      </w:r>
      <w:r>
        <w:rPr>
          <w:rFonts w:hint="eastAsia" w:ascii="方正仿宋_GBK" w:hAnsi="方正仿宋_GBK" w:eastAsia="方正仿宋_GBK" w:cs="方正仿宋_GBK"/>
          <w:sz w:val="32"/>
          <w:szCs w:val="32"/>
          <w:lang w:eastAsia="zh-CN"/>
        </w:rPr>
        <w:t>年度职工体检</w:t>
      </w:r>
      <w:r>
        <w:rPr>
          <w:rFonts w:hint="eastAsia" w:ascii="方正仿宋_GBK" w:hAnsi="方正仿宋_GBK" w:eastAsia="方正仿宋_GBK" w:cs="方正仿宋_GBK"/>
          <w:sz w:val="32"/>
          <w:szCs w:val="32"/>
          <w:lang w:val="en-US" w:eastAsia="zh-CN"/>
        </w:rPr>
        <w:t>服务采购项目</w:t>
      </w:r>
      <w:r>
        <w:rPr>
          <w:rFonts w:hint="eastAsia" w:ascii="方正仿宋_GBK" w:hAnsi="方正仿宋_GBK" w:eastAsia="方正仿宋_GBK" w:cs="方正仿宋_GBK"/>
          <w:sz w:val="32"/>
          <w:szCs w:val="32"/>
          <w:lang w:eastAsia="zh-CN"/>
        </w:rPr>
        <w:t>价格调查的公告</w:t>
      </w:r>
      <w:r>
        <w:rPr>
          <w:rFonts w:hint="eastAsia" w:ascii="方正仿宋_GBK" w:hAnsi="方正仿宋_GBK" w:eastAsia="方正仿宋_GBK" w:cs="方正仿宋_GBK"/>
          <w:sz w:val="32"/>
          <w:szCs w:val="32"/>
          <w:lang w:val="en-US" w:eastAsia="zh-CN"/>
        </w:rPr>
        <w:t>的相关要求，我单位结合工作实际，经评估，具体报价如下：</w:t>
      </w:r>
    </w:p>
    <w:tbl>
      <w:tblPr>
        <w:tblStyle w:val="6"/>
        <w:tblpPr w:leftFromText="180" w:rightFromText="180" w:vertAnchor="text" w:horzAnchor="page" w:tblpX="1342" w:tblpY="178"/>
        <w:tblOverlap w:val="never"/>
        <w:tblW w:w="9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2733"/>
        <w:gridCol w:w="1315"/>
        <w:gridCol w:w="1315"/>
        <w:gridCol w:w="1666"/>
        <w:gridCol w:w="1697"/>
      </w:tblGrid>
      <w:tr w14:paraId="4342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1035" w:type="dxa"/>
            <w:noWrap w:val="0"/>
            <w:vAlign w:val="center"/>
          </w:tcPr>
          <w:p w14:paraId="2D73AB5D">
            <w:pPr>
              <w:spacing w:line="400" w:lineRule="exact"/>
              <w:jc w:val="center"/>
              <w:rPr>
                <w:rFonts w:hint="eastAsia" w:ascii="方正黑体_GBK" w:hAnsi="方正黑体_GBK" w:eastAsia="方正黑体_GBK" w:cs="方正黑体_GBK"/>
                <w:sz w:val="28"/>
                <w:szCs w:val="28"/>
                <w:vertAlign w:val="baseline"/>
                <w:lang w:val="en-US" w:eastAsia="zh-CN"/>
              </w:rPr>
            </w:pPr>
            <w:r>
              <w:rPr>
                <w:rFonts w:hint="eastAsia" w:ascii="宋体" w:hAnsi="宋体" w:eastAsia="宋体" w:cs="宋体"/>
                <w:b/>
                <w:color w:val="auto"/>
                <w:sz w:val="24"/>
                <w:szCs w:val="24"/>
                <w:highlight w:val="none"/>
              </w:rPr>
              <w:t>序号</w:t>
            </w:r>
          </w:p>
        </w:tc>
        <w:tc>
          <w:tcPr>
            <w:tcW w:w="2733" w:type="dxa"/>
            <w:noWrap w:val="0"/>
            <w:vAlign w:val="center"/>
          </w:tcPr>
          <w:p w14:paraId="0ECA5F62">
            <w:pPr>
              <w:spacing w:line="400" w:lineRule="exact"/>
              <w:jc w:val="center"/>
              <w:rPr>
                <w:rFonts w:hint="eastAsia" w:ascii="方正黑体_GBK" w:hAnsi="方正黑体_GBK" w:eastAsia="方正黑体_GBK" w:cs="方正黑体_GBK"/>
                <w:sz w:val="28"/>
                <w:szCs w:val="28"/>
                <w:vertAlign w:val="baseline"/>
                <w:lang w:val="en-US" w:eastAsia="zh-CN"/>
              </w:rPr>
            </w:pPr>
            <w:r>
              <w:rPr>
                <w:rFonts w:hint="eastAsia" w:ascii="宋体" w:hAnsi="宋体" w:eastAsia="宋体" w:cs="宋体"/>
                <w:b/>
                <w:color w:val="auto"/>
                <w:sz w:val="24"/>
                <w:szCs w:val="24"/>
                <w:highlight w:val="none"/>
              </w:rPr>
              <w:t>服务明细</w:t>
            </w:r>
          </w:p>
        </w:tc>
        <w:tc>
          <w:tcPr>
            <w:tcW w:w="1315" w:type="dxa"/>
            <w:noWrap w:val="0"/>
            <w:vAlign w:val="center"/>
          </w:tcPr>
          <w:p w14:paraId="015BB04A">
            <w:pPr>
              <w:spacing w:line="400" w:lineRule="exact"/>
              <w:jc w:val="center"/>
              <w:rPr>
                <w:rFonts w:hint="default"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性别</w:t>
            </w:r>
          </w:p>
        </w:tc>
        <w:tc>
          <w:tcPr>
            <w:tcW w:w="1315" w:type="dxa"/>
            <w:noWrap w:val="0"/>
            <w:vAlign w:val="center"/>
          </w:tcPr>
          <w:p w14:paraId="5FFA1AC8">
            <w:pPr>
              <w:spacing w:line="400" w:lineRule="exact"/>
              <w:jc w:val="center"/>
              <w:rPr>
                <w:rFonts w:hint="default"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人数</w:t>
            </w:r>
          </w:p>
        </w:tc>
        <w:tc>
          <w:tcPr>
            <w:tcW w:w="1666" w:type="dxa"/>
            <w:noWrap w:val="0"/>
            <w:vAlign w:val="center"/>
          </w:tcPr>
          <w:p w14:paraId="1040BFAA">
            <w:pPr>
              <w:spacing w:line="400" w:lineRule="exact"/>
              <w:jc w:val="center"/>
              <w:rPr>
                <w:rFonts w:hint="default" w:ascii="方正黑体_GBK" w:hAnsi="方正黑体_GBK" w:eastAsia="宋体" w:cs="方正黑体_GBK"/>
                <w:snapToGrid w:val="0"/>
                <w:color w:val="000000"/>
                <w:kern w:val="0"/>
                <w:sz w:val="28"/>
                <w:szCs w:val="28"/>
                <w:vertAlign w:val="baseline"/>
                <w:lang w:val="en-US" w:eastAsia="zh-CN" w:bidi="ar-SA"/>
              </w:rPr>
            </w:pPr>
            <w:r>
              <w:rPr>
                <w:rFonts w:hint="eastAsia" w:ascii="宋体" w:hAnsi="宋体" w:eastAsia="宋体" w:cs="宋体"/>
                <w:b/>
                <w:color w:val="auto"/>
                <w:sz w:val="24"/>
                <w:szCs w:val="24"/>
                <w:highlight w:val="none"/>
                <w:lang w:val="en-US" w:eastAsia="zh-CN"/>
              </w:rPr>
              <w:t>报</w:t>
            </w:r>
            <w:r>
              <w:rPr>
                <w:rFonts w:hint="eastAsia" w:ascii="宋体" w:hAnsi="宋体" w:eastAsia="宋体" w:cs="宋体"/>
                <w:b/>
                <w:color w:val="auto"/>
                <w:sz w:val="24"/>
                <w:szCs w:val="24"/>
                <w:highlight w:val="none"/>
              </w:rPr>
              <w:t>价</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元/人）</w:t>
            </w:r>
          </w:p>
        </w:tc>
        <w:tc>
          <w:tcPr>
            <w:tcW w:w="1697" w:type="dxa"/>
            <w:noWrap w:val="0"/>
            <w:vAlign w:val="center"/>
          </w:tcPr>
          <w:p w14:paraId="7B8891B9">
            <w:pPr>
              <w:spacing w:line="400" w:lineRule="exact"/>
              <w:jc w:val="center"/>
              <w:rPr>
                <w:rFonts w:hint="eastAsia" w:ascii="方正黑体_GBK" w:hAnsi="方正黑体_GBK" w:eastAsia="方正黑体_GBK" w:cs="方正黑体_GBK"/>
                <w:snapToGrid w:val="0"/>
                <w:color w:val="000000"/>
                <w:kern w:val="0"/>
                <w:sz w:val="28"/>
                <w:szCs w:val="28"/>
                <w:vertAlign w:val="baseline"/>
                <w:lang w:val="en-US" w:eastAsia="zh-CN" w:bidi="ar-SA"/>
              </w:rPr>
            </w:pPr>
            <w:r>
              <w:rPr>
                <w:rFonts w:hint="eastAsia" w:ascii="宋体" w:hAnsi="宋体" w:eastAsia="宋体" w:cs="宋体"/>
                <w:b/>
                <w:color w:val="auto"/>
                <w:sz w:val="24"/>
                <w:szCs w:val="24"/>
                <w:highlight w:val="none"/>
                <w:lang w:val="en-US" w:eastAsia="zh-CN"/>
              </w:rPr>
              <w:t>合计（元）</w:t>
            </w:r>
          </w:p>
        </w:tc>
      </w:tr>
      <w:tr w14:paraId="6DF2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1035" w:type="dxa"/>
            <w:noWrap w:val="0"/>
            <w:vAlign w:val="center"/>
          </w:tcPr>
          <w:p w14:paraId="27771F8B">
            <w:pPr>
              <w:spacing w:line="400" w:lineRule="exact"/>
              <w:jc w:val="center"/>
              <w:rPr>
                <w:rFonts w:hint="default"/>
                <w:sz w:val="24"/>
                <w:szCs w:val="24"/>
                <w:vertAlign w:val="baseline"/>
                <w:lang w:val="en-US" w:eastAsia="zh-CN"/>
              </w:rPr>
            </w:pPr>
            <w:r>
              <w:rPr>
                <w:rFonts w:hint="eastAsia" w:ascii="宋体" w:hAnsi="宋体" w:eastAsia="宋体" w:cs="宋体"/>
                <w:color w:val="auto"/>
                <w:sz w:val="24"/>
                <w:szCs w:val="24"/>
                <w:highlight w:val="none"/>
              </w:rPr>
              <w:t>1</w:t>
            </w:r>
          </w:p>
        </w:tc>
        <w:tc>
          <w:tcPr>
            <w:tcW w:w="2733" w:type="dxa"/>
            <w:noWrap w:val="0"/>
            <w:vAlign w:val="center"/>
          </w:tcPr>
          <w:p w14:paraId="431A908B">
            <w:pPr>
              <w:spacing w:line="400" w:lineRule="exact"/>
              <w:jc w:val="center"/>
              <w:rPr>
                <w:rFonts w:hint="default"/>
                <w:sz w:val="24"/>
                <w:szCs w:val="24"/>
                <w:vertAlign w:val="baseline"/>
                <w:lang w:val="en-US" w:eastAsia="zh-CN"/>
              </w:rPr>
            </w:pPr>
            <w:r>
              <w:rPr>
                <w:rFonts w:hint="eastAsia" w:ascii="宋体" w:hAnsi="宋体" w:eastAsia="宋体" w:cs="宋体"/>
                <w:color w:val="auto"/>
                <w:sz w:val="24"/>
                <w:szCs w:val="24"/>
                <w:highlight w:val="none"/>
                <w:lang w:val="en-US" w:eastAsia="zh-CN"/>
              </w:rPr>
              <w:t>职工健康体检服务</w:t>
            </w:r>
          </w:p>
        </w:tc>
        <w:tc>
          <w:tcPr>
            <w:tcW w:w="1315" w:type="dxa"/>
            <w:noWrap w:val="0"/>
            <w:vAlign w:val="center"/>
          </w:tcPr>
          <w:p w14:paraId="6B027EED">
            <w:pPr>
              <w:spacing w:line="400" w:lineRule="exact"/>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男性</w:t>
            </w:r>
          </w:p>
        </w:tc>
        <w:tc>
          <w:tcPr>
            <w:tcW w:w="1315" w:type="dxa"/>
            <w:noWrap w:val="0"/>
            <w:vAlign w:val="center"/>
          </w:tcPr>
          <w:p w14:paraId="75D5CEA1">
            <w:pPr>
              <w:spacing w:line="400" w:lineRule="exact"/>
              <w:jc w:val="center"/>
              <w:rPr>
                <w:rFonts w:hint="default"/>
                <w:sz w:val="24"/>
                <w:szCs w:val="24"/>
                <w:vertAlign w:val="baseline"/>
                <w:lang w:val="en-US" w:eastAsia="zh-CN"/>
              </w:rPr>
            </w:pPr>
            <w:r>
              <w:rPr>
                <w:rFonts w:hint="eastAsia" w:ascii="宋体" w:hAnsi="宋体" w:eastAsia="宋体" w:cs="宋体"/>
                <w:b/>
                <w:bCs/>
                <w:color w:val="auto"/>
                <w:sz w:val="24"/>
                <w:szCs w:val="24"/>
                <w:highlight w:val="none"/>
                <w:lang w:val="en-US" w:eastAsia="zh-CN"/>
              </w:rPr>
              <w:t>51</w:t>
            </w:r>
          </w:p>
        </w:tc>
        <w:tc>
          <w:tcPr>
            <w:tcW w:w="1666" w:type="dxa"/>
            <w:noWrap w:val="0"/>
            <w:vAlign w:val="center"/>
          </w:tcPr>
          <w:p w14:paraId="7394AB57">
            <w:pPr>
              <w:spacing w:line="400" w:lineRule="exact"/>
              <w:jc w:val="center"/>
              <w:rPr>
                <w:rFonts w:hint="default"/>
                <w:sz w:val="24"/>
                <w:szCs w:val="24"/>
                <w:vertAlign w:val="baseline"/>
                <w:lang w:val="en-US" w:eastAsia="zh-CN"/>
              </w:rPr>
            </w:pPr>
          </w:p>
        </w:tc>
        <w:tc>
          <w:tcPr>
            <w:tcW w:w="1697" w:type="dxa"/>
            <w:noWrap w:val="0"/>
            <w:vAlign w:val="center"/>
          </w:tcPr>
          <w:p w14:paraId="659D8267">
            <w:pPr>
              <w:spacing w:line="400" w:lineRule="exact"/>
              <w:jc w:val="center"/>
              <w:rPr>
                <w:rFonts w:hint="default"/>
                <w:sz w:val="24"/>
                <w:szCs w:val="24"/>
                <w:vertAlign w:val="baseline"/>
                <w:lang w:val="en-US" w:eastAsia="zh-CN"/>
              </w:rPr>
            </w:pPr>
          </w:p>
        </w:tc>
      </w:tr>
      <w:tr w14:paraId="3FAD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1035" w:type="dxa"/>
            <w:noWrap w:val="0"/>
            <w:vAlign w:val="center"/>
          </w:tcPr>
          <w:p w14:paraId="190B9BCA">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733" w:type="dxa"/>
            <w:noWrap w:val="0"/>
            <w:vAlign w:val="center"/>
          </w:tcPr>
          <w:p w14:paraId="1966E1B5">
            <w:pPr>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职工健康体检服务</w:t>
            </w:r>
          </w:p>
        </w:tc>
        <w:tc>
          <w:tcPr>
            <w:tcW w:w="1315" w:type="dxa"/>
            <w:noWrap w:val="0"/>
            <w:vAlign w:val="center"/>
          </w:tcPr>
          <w:p w14:paraId="2E9861A2">
            <w:pPr>
              <w:spacing w:line="400" w:lineRule="exact"/>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女性</w:t>
            </w:r>
          </w:p>
        </w:tc>
        <w:tc>
          <w:tcPr>
            <w:tcW w:w="1315" w:type="dxa"/>
            <w:noWrap w:val="0"/>
            <w:vAlign w:val="center"/>
          </w:tcPr>
          <w:p w14:paraId="76EB9B7C">
            <w:pPr>
              <w:spacing w:line="400" w:lineRule="exact"/>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111</w:t>
            </w:r>
          </w:p>
        </w:tc>
        <w:tc>
          <w:tcPr>
            <w:tcW w:w="1666" w:type="dxa"/>
            <w:noWrap w:val="0"/>
            <w:vAlign w:val="center"/>
          </w:tcPr>
          <w:p w14:paraId="46F71753">
            <w:pPr>
              <w:spacing w:line="400" w:lineRule="exact"/>
              <w:jc w:val="center"/>
              <w:rPr>
                <w:rFonts w:hint="default"/>
                <w:sz w:val="24"/>
                <w:szCs w:val="24"/>
                <w:vertAlign w:val="baseline"/>
                <w:lang w:val="en-US" w:eastAsia="zh-CN"/>
              </w:rPr>
            </w:pPr>
          </w:p>
        </w:tc>
        <w:tc>
          <w:tcPr>
            <w:tcW w:w="1697" w:type="dxa"/>
            <w:noWrap w:val="0"/>
            <w:vAlign w:val="center"/>
          </w:tcPr>
          <w:p w14:paraId="72325128">
            <w:pPr>
              <w:spacing w:line="400" w:lineRule="exact"/>
              <w:jc w:val="center"/>
              <w:rPr>
                <w:rFonts w:hint="default"/>
                <w:sz w:val="24"/>
                <w:szCs w:val="24"/>
                <w:vertAlign w:val="baseline"/>
                <w:lang w:val="en-US" w:eastAsia="zh-CN"/>
              </w:rPr>
            </w:pPr>
          </w:p>
        </w:tc>
      </w:tr>
      <w:tr w14:paraId="4123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rPr>
        <w:tc>
          <w:tcPr>
            <w:tcW w:w="9761" w:type="dxa"/>
            <w:gridSpan w:val="6"/>
            <w:noWrap w:val="0"/>
            <w:vAlign w:val="center"/>
          </w:tcPr>
          <w:p w14:paraId="5ED1F66B">
            <w:pPr>
              <w:spacing w:line="400" w:lineRule="exact"/>
              <w:jc w:val="center"/>
              <w:rPr>
                <w:rFonts w:hint="eastAsia" w:ascii="宋体" w:hAnsi="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总报价</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none"/>
                <w:lang w:val="en-US" w:eastAsia="zh-CN"/>
              </w:rPr>
              <w:t>元，大写：</w:t>
            </w:r>
            <w:r>
              <w:rPr>
                <w:rFonts w:hint="eastAsia" w:ascii="宋体" w:hAnsi="宋体" w:cs="宋体"/>
                <w:b/>
                <w:bCs/>
                <w:color w:val="auto"/>
                <w:sz w:val="24"/>
                <w:szCs w:val="24"/>
                <w:highlight w:val="none"/>
                <w:u w:val="none"/>
                <w:lang w:val="en-US" w:eastAsia="zh-CN"/>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u w:val="single"/>
                <w:lang w:val="en-US" w:eastAsia="zh-CN"/>
              </w:rPr>
              <w:t xml:space="preserve"> </w:t>
            </w:r>
          </w:p>
        </w:tc>
      </w:tr>
    </w:tbl>
    <w:p w14:paraId="06E6697F">
      <w:pPr>
        <w:pStyle w:val="8"/>
        <w:keepNext w:val="0"/>
        <w:keepLines w:val="0"/>
        <w:pageBreakBefore w:val="0"/>
        <w:widowControl/>
        <w:kinsoku w:val="0"/>
        <w:wordWrap/>
        <w:overflowPunct/>
        <w:topLinePunct w:val="0"/>
        <w:autoSpaceDE w:val="0"/>
        <w:autoSpaceDN w:val="0"/>
        <w:bidi w:val="0"/>
        <w:adjustRightInd w:val="0"/>
        <w:snapToGrid w:val="0"/>
        <w:spacing w:line="580" w:lineRule="exact"/>
        <w:jc w:val="both"/>
        <w:textAlignment w:val="baseline"/>
        <w:rPr>
          <w:rFonts w:hint="eastAsia" w:ascii="方正仿宋_GBK" w:hAnsi="方正仿宋_GBK" w:eastAsia="方正仿宋_GBK" w:cs="方正仿宋_GBK"/>
          <w:sz w:val="32"/>
          <w:szCs w:val="32"/>
          <w:lang w:val="en-US" w:eastAsia="zh-CN"/>
        </w:rPr>
      </w:pPr>
    </w:p>
    <w:p w14:paraId="57C9547A">
      <w:pP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p>
    <w:p w14:paraId="141C4A7D">
      <w:pPr>
        <w:pStyle w:val="8"/>
        <w:keepNext w:val="0"/>
        <w:keepLines w:val="0"/>
        <w:pageBreakBefore w:val="0"/>
        <w:widowControl/>
        <w:kinsoku w:val="0"/>
        <w:wordWrap/>
        <w:overflowPunct/>
        <w:topLinePunct w:val="0"/>
        <w:autoSpaceDE w:val="0"/>
        <w:autoSpaceDN w:val="0"/>
        <w:bidi w:val="0"/>
        <w:adjustRightInd w:val="0"/>
        <w:snapToGrid w:val="0"/>
        <w:spacing w:line="580" w:lineRule="exact"/>
        <w:jc w:val="both"/>
        <w:textAlignment w:val="baseline"/>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报价明细表：</w:t>
      </w:r>
    </w:p>
    <w:tbl>
      <w:tblPr>
        <w:tblStyle w:val="6"/>
        <w:tblpPr w:leftFromText="180" w:rightFromText="180" w:vertAnchor="text" w:horzAnchor="page" w:tblpX="1925" w:tblpY="879"/>
        <w:tblOverlap w:val="never"/>
        <w:tblW w:w="51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1936"/>
        <w:gridCol w:w="4296"/>
        <w:gridCol w:w="628"/>
        <w:gridCol w:w="653"/>
      </w:tblGrid>
      <w:tr w14:paraId="02D4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7" w:type="pct"/>
            <w:gridSpan w:val="2"/>
            <w:vAlign w:val="center"/>
          </w:tcPr>
          <w:p w14:paraId="66D23C8C">
            <w:pPr>
              <w:pStyle w:val="4"/>
              <w:jc w:val="center"/>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体检项目</w:t>
            </w:r>
          </w:p>
        </w:tc>
        <w:tc>
          <w:tcPr>
            <w:tcW w:w="2466" w:type="pct"/>
            <w:vAlign w:val="center"/>
          </w:tcPr>
          <w:p w14:paraId="67121A2E">
            <w:pPr>
              <w:pStyle w:val="4"/>
              <w:jc w:val="center"/>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主要内容及项目意义</w:t>
            </w:r>
          </w:p>
        </w:tc>
        <w:tc>
          <w:tcPr>
            <w:tcW w:w="360" w:type="pct"/>
            <w:vAlign w:val="center"/>
          </w:tcPr>
          <w:p w14:paraId="05ECE78F">
            <w:pPr>
              <w:pStyle w:val="4"/>
              <w:jc w:val="center"/>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男</w:t>
            </w:r>
          </w:p>
        </w:tc>
        <w:tc>
          <w:tcPr>
            <w:tcW w:w="374" w:type="pct"/>
            <w:vAlign w:val="center"/>
          </w:tcPr>
          <w:p w14:paraId="4BBF3552">
            <w:pPr>
              <w:pStyle w:val="4"/>
              <w:jc w:val="center"/>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女</w:t>
            </w:r>
          </w:p>
        </w:tc>
      </w:tr>
      <w:tr w14:paraId="41AE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85" w:type="pct"/>
            <w:vMerge w:val="restart"/>
            <w:vAlign w:val="center"/>
          </w:tcPr>
          <w:p w14:paraId="0C45E2C4">
            <w:pPr>
              <w:pStyle w:val="4"/>
              <w:tabs>
                <w:tab w:val="left" w:pos="552"/>
              </w:tabs>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color w:val="auto"/>
                <w:sz w:val="24"/>
                <w:szCs w:val="24"/>
                <w:highlight w:val="none"/>
                <w:vertAlign w:val="baseline"/>
                <w:lang w:val="en-US" w:eastAsia="zh-CN"/>
              </w:rPr>
              <w:t>临床检查</w:t>
            </w:r>
          </w:p>
        </w:tc>
        <w:tc>
          <w:tcPr>
            <w:tcW w:w="1111" w:type="pct"/>
            <w:vAlign w:val="center"/>
          </w:tcPr>
          <w:p w14:paraId="0BEBFF76">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身高体重</w:t>
            </w:r>
          </w:p>
        </w:tc>
        <w:tc>
          <w:tcPr>
            <w:tcW w:w="2466" w:type="pct"/>
            <w:vAlign w:val="center"/>
          </w:tcPr>
          <w:p w14:paraId="5ABE00F8">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了解身高、体重、以及体重指数（BMI）</w:t>
            </w:r>
          </w:p>
        </w:tc>
        <w:tc>
          <w:tcPr>
            <w:tcW w:w="360" w:type="pct"/>
            <w:vAlign w:val="center"/>
          </w:tcPr>
          <w:p w14:paraId="2F735832">
            <w:pPr>
              <w:pStyle w:val="4"/>
              <w:jc w:val="both"/>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6E630204">
            <w:pPr>
              <w:pStyle w:val="4"/>
              <w:jc w:val="both"/>
              <w:rPr>
                <w:rFonts w:hint="eastAsia" w:ascii="宋体" w:hAnsi="宋体" w:eastAsia="宋体" w:cs="宋体"/>
                <w:bCs/>
                <w:color w:val="auto"/>
                <w:sz w:val="24"/>
                <w:szCs w:val="24"/>
                <w:highlight w:val="none"/>
                <w:vertAlign w:val="baseline"/>
                <w:lang w:val="en-US" w:eastAsia="zh-CN"/>
              </w:rPr>
            </w:pPr>
          </w:p>
        </w:tc>
      </w:tr>
      <w:tr w14:paraId="5F80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85" w:type="pct"/>
            <w:vMerge w:val="continue"/>
            <w:vAlign w:val="center"/>
          </w:tcPr>
          <w:p w14:paraId="39B6D28B">
            <w:pPr>
              <w:jc w:val="both"/>
              <w:rPr>
                <w:rFonts w:hint="eastAsia" w:ascii="宋体" w:hAnsi="宋体" w:eastAsia="宋体" w:cs="宋体"/>
                <w:bCs/>
                <w:color w:val="auto"/>
                <w:sz w:val="24"/>
                <w:szCs w:val="24"/>
                <w:highlight w:val="none"/>
                <w:vertAlign w:val="baseline"/>
              </w:rPr>
            </w:pPr>
          </w:p>
        </w:tc>
        <w:tc>
          <w:tcPr>
            <w:tcW w:w="1111" w:type="pct"/>
            <w:vAlign w:val="center"/>
          </w:tcPr>
          <w:p w14:paraId="71AD8ECF">
            <w:pPr>
              <w:jc w:val="both"/>
              <w:rPr>
                <w:rFonts w:hint="eastAsia" w:ascii="宋体" w:hAnsi="宋体" w:eastAsia="宋体" w:cs="宋体"/>
                <w:bCs/>
                <w:color w:val="auto"/>
                <w:sz w:val="24"/>
                <w:szCs w:val="24"/>
                <w:highlight w:val="none"/>
                <w:vertAlign w:val="baseline"/>
              </w:rPr>
            </w:pPr>
            <w:r>
              <w:rPr>
                <w:rFonts w:hint="eastAsia" w:ascii="宋体" w:hAnsi="宋体" w:eastAsia="宋体" w:cs="宋体"/>
                <w:color w:val="auto"/>
                <w:sz w:val="24"/>
                <w:szCs w:val="24"/>
                <w:highlight w:val="none"/>
              </w:rPr>
              <w:t xml:space="preserve">血压 </w:t>
            </w:r>
          </w:p>
        </w:tc>
        <w:tc>
          <w:tcPr>
            <w:tcW w:w="2466" w:type="pct"/>
            <w:vAlign w:val="center"/>
          </w:tcPr>
          <w:p w14:paraId="03B7D373">
            <w:pPr>
              <w:jc w:val="both"/>
              <w:rPr>
                <w:rFonts w:hint="eastAsia" w:ascii="宋体" w:hAnsi="宋体" w:eastAsia="宋体" w:cs="宋体"/>
                <w:bCs/>
                <w:color w:val="auto"/>
                <w:sz w:val="24"/>
                <w:szCs w:val="24"/>
                <w:highlight w:val="none"/>
                <w:vertAlign w:val="baseline"/>
              </w:rPr>
            </w:pPr>
            <w:r>
              <w:rPr>
                <w:rFonts w:hint="eastAsia" w:ascii="宋体" w:hAnsi="宋体" w:eastAsia="宋体" w:cs="宋体"/>
                <w:color w:val="auto"/>
                <w:sz w:val="24"/>
                <w:szCs w:val="24"/>
                <w:highlight w:val="none"/>
              </w:rPr>
              <w:t xml:space="preserve">了解血压情况 </w:t>
            </w:r>
          </w:p>
        </w:tc>
        <w:tc>
          <w:tcPr>
            <w:tcW w:w="360" w:type="pct"/>
            <w:vAlign w:val="center"/>
          </w:tcPr>
          <w:p w14:paraId="7039F94F">
            <w:pPr>
              <w:pStyle w:val="4"/>
              <w:jc w:val="both"/>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3B8B9D82">
            <w:pPr>
              <w:pStyle w:val="4"/>
              <w:jc w:val="both"/>
              <w:rPr>
                <w:rFonts w:hint="eastAsia" w:ascii="宋体" w:hAnsi="宋体" w:eastAsia="宋体" w:cs="宋体"/>
                <w:bCs/>
                <w:color w:val="auto"/>
                <w:sz w:val="24"/>
                <w:szCs w:val="24"/>
                <w:highlight w:val="none"/>
                <w:vertAlign w:val="baseline"/>
              </w:rPr>
            </w:pPr>
          </w:p>
        </w:tc>
      </w:tr>
      <w:tr w14:paraId="7B56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685" w:type="pct"/>
            <w:vMerge w:val="continue"/>
            <w:vAlign w:val="center"/>
          </w:tcPr>
          <w:p w14:paraId="7896C8D6">
            <w:pPr>
              <w:pStyle w:val="4"/>
              <w:tabs>
                <w:tab w:val="left" w:pos="552"/>
              </w:tabs>
              <w:jc w:val="both"/>
              <w:rPr>
                <w:rFonts w:hint="eastAsia" w:ascii="宋体" w:hAnsi="宋体" w:eastAsia="宋体" w:cs="宋体"/>
                <w:color w:val="auto"/>
                <w:kern w:val="2"/>
                <w:sz w:val="24"/>
                <w:szCs w:val="24"/>
                <w:highlight w:val="none"/>
                <w:lang w:val="en-US" w:eastAsia="zh-CN" w:bidi="ar-SA"/>
              </w:rPr>
            </w:pPr>
          </w:p>
        </w:tc>
        <w:tc>
          <w:tcPr>
            <w:tcW w:w="1111" w:type="pct"/>
            <w:vAlign w:val="center"/>
          </w:tcPr>
          <w:p w14:paraId="08B6F246">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内科</w:t>
            </w:r>
          </w:p>
        </w:tc>
        <w:tc>
          <w:tcPr>
            <w:tcW w:w="2466" w:type="pct"/>
            <w:vAlign w:val="center"/>
          </w:tcPr>
          <w:p w14:paraId="6081953E">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临床检查心肺有无异常、肝脾有无肿大，腹部能否扪及包块等。</w:t>
            </w:r>
          </w:p>
        </w:tc>
        <w:tc>
          <w:tcPr>
            <w:tcW w:w="360" w:type="pct"/>
            <w:vAlign w:val="center"/>
          </w:tcPr>
          <w:p w14:paraId="3E532186">
            <w:pPr>
              <w:pStyle w:val="4"/>
              <w:jc w:val="both"/>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4158609F">
            <w:pPr>
              <w:pStyle w:val="4"/>
              <w:jc w:val="both"/>
              <w:rPr>
                <w:rFonts w:hint="eastAsia" w:ascii="宋体" w:hAnsi="宋体" w:eastAsia="宋体" w:cs="宋体"/>
                <w:bCs/>
                <w:color w:val="auto"/>
                <w:sz w:val="24"/>
                <w:szCs w:val="24"/>
                <w:highlight w:val="none"/>
                <w:vertAlign w:val="baseline"/>
                <w:lang w:val="en-US" w:eastAsia="zh-CN"/>
              </w:rPr>
            </w:pPr>
          </w:p>
        </w:tc>
      </w:tr>
      <w:tr w14:paraId="52FC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pct"/>
            <w:vMerge w:val="continue"/>
            <w:vAlign w:val="center"/>
          </w:tcPr>
          <w:p w14:paraId="76555543">
            <w:pPr>
              <w:pStyle w:val="4"/>
              <w:tabs>
                <w:tab w:val="left" w:pos="552"/>
              </w:tabs>
              <w:jc w:val="both"/>
              <w:rPr>
                <w:rFonts w:hint="eastAsia" w:ascii="宋体" w:hAnsi="宋体" w:eastAsia="宋体" w:cs="宋体"/>
                <w:color w:val="auto"/>
                <w:kern w:val="2"/>
                <w:sz w:val="24"/>
                <w:szCs w:val="24"/>
                <w:highlight w:val="none"/>
                <w:lang w:val="en-US" w:eastAsia="zh-CN" w:bidi="ar-SA"/>
              </w:rPr>
            </w:pPr>
          </w:p>
        </w:tc>
        <w:tc>
          <w:tcPr>
            <w:tcW w:w="1111" w:type="pct"/>
            <w:vAlign w:val="center"/>
          </w:tcPr>
          <w:p w14:paraId="628DDF54">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外科</w:t>
            </w:r>
          </w:p>
        </w:tc>
        <w:tc>
          <w:tcPr>
            <w:tcW w:w="2466" w:type="pct"/>
            <w:vAlign w:val="center"/>
          </w:tcPr>
          <w:p w14:paraId="51589ABA">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浅表淋巴结有无肿大、甲状腺、乳房能否扪及包块四肢、脊椎有无明显畸形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肛肠指诊等。</w:t>
            </w:r>
          </w:p>
        </w:tc>
        <w:tc>
          <w:tcPr>
            <w:tcW w:w="360" w:type="pct"/>
            <w:vAlign w:val="center"/>
          </w:tcPr>
          <w:p w14:paraId="45942F18">
            <w:pPr>
              <w:pStyle w:val="4"/>
              <w:jc w:val="both"/>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54E9D187">
            <w:pPr>
              <w:pStyle w:val="4"/>
              <w:jc w:val="both"/>
              <w:rPr>
                <w:rFonts w:hint="eastAsia" w:ascii="宋体" w:hAnsi="宋体" w:eastAsia="宋体" w:cs="宋体"/>
                <w:bCs/>
                <w:color w:val="auto"/>
                <w:sz w:val="24"/>
                <w:szCs w:val="24"/>
                <w:highlight w:val="none"/>
                <w:vertAlign w:val="baseline"/>
                <w:lang w:val="en-US" w:eastAsia="zh-CN"/>
              </w:rPr>
            </w:pPr>
          </w:p>
        </w:tc>
      </w:tr>
      <w:tr w14:paraId="65EB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pct"/>
            <w:vMerge w:val="continue"/>
            <w:vAlign w:val="center"/>
          </w:tcPr>
          <w:p w14:paraId="6022454A">
            <w:pPr>
              <w:pStyle w:val="4"/>
              <w:tabs>
                <w:tab w:val="left" w:pos="552"/>
              </w:tabs>
              <w:jc w:val="both"/>
              <w:rPr>
                <w:rFonts w:hint="eastAsia" w:ascii="宋体" w:hAnsi="宋体" w:eastAsia="宋体" w:cs="宋体"/>
                <w:color w:val="auto"/>
                <w:kern w:val="2"/>
                <w:sz w:val="24"/>
                <w:szCs w:val="24"/>
                <w:highlight w:val="none"/>
                <w:lang w:val="en-US" w:eastAsia="zh-CN" w:bidi="ar-SA"/>
              </w:rPr>
            </w:pPr>
          </w:p>
        </w:tc>
        <w:tc>
          <w:tcPr>
            <w:tcW w:w="1111" w:type="pct"/>
            <w:vAlign w:val="center"/>
          </w:tcPr>
          <w:p w14:paraId="0AFA796E">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耳鼻喉科</w:t>
            </w:r>
          </w:p>
        </w:tc>
        <w:tc>
          <w:tcPr>
            <w:tcW w:w="2466" w:type="pct"/>
            <w:vAlign w:val="center"/>
          </w:tcPr>
          <w:p w14:paraId="5FC99C1C">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通过对耳、鼻、咽等器官的常规器械检查，发现常见疾病。</w:t>
            </w:r>
          </w:p>
        </w:tc>
        <w:tc>
          <w:tcPr>
            <w:tcW w:w="360" w:type="pct"/>
            <w:vAlign w:val="center"/>
          </w:tcPr>
          <w:p w14:paraId="28457843">
            <w:pPr>
              <w:pStyle w:val="4"/>
              <w:jc w:val="both"/>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14F8806E">
            <w:pPr>
              <w:pStyle w:val="4"/>
              <w:jc w:val="both"/>
              <w:rPr>
                <w:rFonts w:hint="eastAsia" w:ascii="宋体" w:hAnsi="宋体" w:eastAsia="宋体" w:cs="宋体"/>
                <w:bCs/>
                <w:color w:val="auto"/>
                <w:sz w:val="24"/>
                <w:szCs w:val="24"/>
                <w:highlight w:val="none"/>
                <w:vertAlign w:val="baseline"/>
                <w:lang w:val="en-US" w:eastAsia="zh-CN"/>
              </w:rPr>
            </w:pPr>
          </w:p>
        </w:tc>
      </w:tr>
      <w:tr w14:paraId="4B43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85" w:type="pct"/>
            <w:vMerge w:val="continue"/>
            <w:vAlign w:val="center"/>
          </w:tcPr>
          <w:p w14:paraId="4D4934D7">
            <w:pPr>
              <w:pStyle w:val="4"/>
              <w:tabs>
                <w:tab w:val="left" w:pos="552"/>
              </w:tabs>
              <w:jc w:val="both"/>
              <w:rPr>
                <w:rFonts w:hint="eastAsia" w:ascii="宋体" w:hAnsi="宋体" w:eastAsia="宋体" w:cs="宋体"/>
                <w:color w:val="auto"/>
                <w:kern w:val="2"/>
                <w:sz w:val="24"/>
                <w:szCs w:val="24"/>
                <w:highlight w:val="none"/>
                <w:lang w:val="en-US" w:eastAsia="zh-CN" w:bidi="ar-SA"/>
              </w:rPr>
            </w:pPr>
          </w:p>
        </w:tc>
        <w:tc>
          <w:tcPr>
            <w:tcW w:w="1111" w:type="pct"/>
            <w:vAlign w:val="center"/>
          </w:tcPr>
          <w:p w14:paraId="2884ED50">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眼底照相</w:t>
            </w:r>
          </w:p>
        </w:tc>
        <w:tc>
          <w:tcPr>
            <w:tcW w:w="2466" w:type="pct"/>
            <w:vAlign w:val="center"/>
          </w:tcPr>
          <w:p w14:paraId="0B4A3DFD">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眼底照相</w:t>
            </w:r>
          </w:p>
        </w:tc>
        <w:tc>
          <w:tcPr>
            <w:tcW w:w="360" w:type="pct"/>
            <w:vAlign w:val="center"/>
          </w:tcPr>
          <w:p w14:paraId="1A301387">
            <w:pPr>
              <w:pStyle w:val="4"/>
              <w:jc w:val="both"/>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6C6370DA">
            <w:pPr>
              <w:pStyle w:val="4"/>
              <w:jc w:val="both"/>
              <w:rPr>
                <w:rFonts w:hint="eastAsia" w:ascii="宋体" w:hAnsi="宋体" w:eastAsia="宋体" w:cs="宋体"/>
                <w:bCs/>
                <w:color w:val="auto"/>
                <w:sz w:val="24"/>
                <w:szCs w:val="24"/>
                <w:highlight w:val="none"/>
                <w:vertAlign w:val="baseline"/>
                <w:lang w:val="en-US" w:eastAsia="zh-CN"/>
              </w:rPr>
            </w:pPr>
          </w:p>
        </w:tc>
      </w:tr>
      <w:tr w14:paraId="22AB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pct"/>
            <w:vMerge w:val="restart"/>
            <w:vAlign w:val="center"/>
          </w:tcPr>
          <w:p w14:paraId="4ECD8395">
            <w:pPr>
              <w:pStyle w:val="4"/>
              <w:tabs>
                <w:tab w:val="left" w:pos="552"/>
              </w:tabs>
              <w:jc w:val="both"/>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化验检查</w:t>
            </w:r>
          </w:p>
        </w:tc>
        <w:tc>
          <w:tcPr>
            <w:tcW w:w="1111" w:type="pct"/>
            <w:vAlign w:val="center"/>
          </w:tcPr>
          <w:p w14:paraId="2FF4DB46">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血常规</w:t>
            </w:r>
            <w:r>
              <w:rPr>
                <w:rFonts w:hint="eastAsia" w:ascii="宋体" w:hAnsi="宋体" w:eastAsia="宋体" w:cs="宋体"/>
                <w:color w:val="auto"/>
                <w:sz w:val="24"/>
                <w:szCs w:val="24"/>
                <w:highlight w:val="none"/>
                <w:lang w:val="en-US" w:eastAsia="zh-CN"/>
              </w:rPr>
              <w:t>5分类</w:t>
            </w:r>
          </w:p>
        </w:tc>
        <w:tc>
          <w:tcPr>
            <w:tcW w:w="2466" w:type="pct"/>
            <w:vAlign w:val="center"/>
          </w:tcPr>
          <w:p w14:paraId="23726638">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检查血液中的有形成分，了解有无贫血、感染及其他血液疾病可能</w:t>
            </w:r>
            <w:r>
              <w:rPr>
                <w:rFonts w:hint="eastAsia" w:ascii="宋体" w:hAnsi="宋体" w:eastAsia="宋体" w:cs="宋体"/>
                <w:color w:val="auto"/>
                <w:sz w:val="24"/>
                <w:szCs w:val="24"/>
                <w:highlight w:val="none"/>
                <w:lang w:eastAsia="zh-CN"/>
              </w:rPr>
              <w:t>。</w:t>
            </w:r>
          </w:p>
        </w:tc>
        <w:tc>
          <w:tcPr>
            <w:tcW w:w="360" w:type="pct"/>
            <w:vAlign w:val="center"/>
          </w:tcPr>
          <w:p w14:paraId="303A1F9B">
            <w:pPr>
              <w:pStyle w:val="4"/>
              <w:jc w:val="both"/>
              <w:rPr>
                <w:rFonts w:hint="eastAsia" w:ascii="宋体" w:hAnsi="宋体" w:eastAsia="宋体" w:cs="宋体"/>
                <w:bCs/>
                <w:color w:val="auto"/>
                <w:sz w:val="24"/>
                <w:szCs w:val="24"/>
                <w:highlight w:val="none"/>
                <w:vertAlign w:val="baseline"/>
              </w:rPr>
            </w:pPr>
          </w:p>
        </w:tc>
        <w:tc>
          <w:tcPr>
            <w:tcW w:w="374" w:type="pct"/>
            <w:vAlign w:val="center"/>
          </w:tcPr>
          <w:p w14:paraId="587BC901">
            <w:pPr>
              <w:pStyle w:val="4"/>
              <w:jc w:val="both"/>
              <w:rPr>
                <w:rFonts w:hint="eastAsia" w:ascii="宋体" w:hAnsi="宋体" w:eastAsia="宋体" w:cs="宋体"/>
                <w:bCs/>
                <w:color w:val="auto"/>
                <w:sz w:val="24"/>
                <w:szCs w:val="24"/>
                <w:highlight w:val="none"/>
                <w:vertAlign w:val="baseline"/>
              </w:rPr>
            </w:pPr>
          </w:p>
        </w:tc>
      </w:tr>
      <w:tr w14:paraId="5687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685" w:type="pct"/>
            <w:vMerge w:val="continue"/>
            <w:vAlign w:val="center"/>
          </w:tcPr>
          <w:p w14:paraId="70E1F1E1">
            <w:pPr>
              <w:pStyle w:val="4"/>
              <w:jc w:val="both"/>
              <w:rPr>
                <w:rFonts w:hint="eastAsia" w:ascii="宋体" w:hAnsi="宋体" w:eastAsia="宋体" w:cs="宋体"/>
                <w:bCs/>
                <w:color w:val="auto"/>
                <w:sz w:val="24"/>
                <w:szCs w:val="24"/>
                <w:highlight w:val="none"/>
                <w:vertAlign w:val="baseline"/>
              </w:rPr>
            </w:pPr>
          </w:p>
        </w:tc>
        <w:tc>
          <w:tcPr>
            <w:tcW w:w="1111" w:type="pct"/>
            <w:vAlign w:val="center"/>
          </w:tcPr>
          <w:p w14:paraId="7C92BF24">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肝功（1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2466" w:type="pct"/>
            <w:vAlign w:val="center"/>
          </w:tcPr>
          <w:p w14:paraId="03708D68">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i w:val="0"/>
                <w:iCs w:val="0"/>
                <w:color w:val="auto"/>
                <w:kern w:val="0"/>
                <w:sz w:val="24"/>
                <w:szCs w:val="24"/>
                <w:highlight w:val="none"/>
                <w:u w:val="none"/>
                <w:lang w:val="en-US" w:eastAsia="zh-CN" w:bidi="ar"/>
              </w:rPr>
              <w:t>ALT、AST、GGT、ALP、</w:t>
            </w:r>
            <w:r>
              <w:rPr>
                <w:rFonts w:hint="eastAsia" w:ascii="宋体" w:hAnsi="宋体" w:eastAsia="宋体" w:cs="宋体"/>
                <w:color w:val="auto"/>
                <w:sz w:val="24"/>
                <w:szCs w:val="24"/>
                <w:highlight w:val="none"/>
              </w:rPr>
              <w:t xml:space="preserve"> </w:t>
            </w:r>
            <w:r>
              <w:rPr>
                <w:rFonts w:hint="eastAsia" w:ascii="宋体" w:hAnsi="宋体" w:eastAsia="宋体" w:cs="宋体"/>
                <w:i w:val="0"/>
                <w:iCs w:val="0"/>
                <w:color w:val="auto"/>
                <w:kern w:val="0"/>
                <w:sz w:val="24"/>
                <w:szCs w:val="24"/>
                <w:highlight w:val="none"/>
                <w:u w:val="none"/>
                <w:lang w:val="en-US" w:eastAsia="zh-CN" w:bidi="ar"/>
              </w:rPr>
              <w:t>ALT/AST比值、总蛋白、白蛋白、球蛋白、（白/球比值）、总胆红素、直接胆红素、间接胆红素、胆汁酸。</w:t>
            </w:r>
            <w:r>
              <w:rPr>
                <w:rFonts w:hint="eastAsia" w:ascii="宋体" w:hAnsi="宋体" w:eastAsia="宋体" w:cs="宋体"/>
                <w:color w:val="auto"/>
                <w:sz w:val="24"/>
                <w:szCs w:val="24"/>
                <w:highlight w:val="none"/>
              </w:rPr>
              <w:t xml:space="preserve">了解肝脏代谢情况及有无肝损伤 </w:t>
            </w:r>
            <w:r>
              <w:rPr>
                <w:rFonts w:hint="eastAsia" w:ascii="宋体" w:hAnsi="宋体" w:eastAsia="宋体" w:cs="宋体"/>
                <w:color w:val="auto"/>
                <w:sz w:val="24"/>
                <w:szCs w:val="24"/>
                <w:highlight w:val="none"/>
                <w:lang w:eastAsia="zh-CN"/>
              </w:rPr>
              <w:t>。</w:t>
            </w:r>
          </w:p>
        </w:tc>
        <w:tc>
          <w:tcPr>
            <w:tcW w:w="360" w:type="pct"/>
            <w:vAlign w:val="center"/>
          </w:tcPr>
          <w:p w14:paraId="64A3B610">
            <w:pPr>
              <w:pStyle w:val="4"/>
              <w:jc w:val="both"/>
              <w:rPr>
                <w:rFonts w:hint="eastAsia" w:ascii="宋体" w:hAnsi="宋体" w:eastAsia="宋体" w:cs="宋体"/>
                <w:bCs/>
                <w:color w:val="auto"/>
                <w:sz w:val="24"/>
                <w:szCs w:val="24"/>
                <w:highlight w:val="none"/>
                <w:vertAlign w:val="baseline"/>
              </w:rPr>
            </w:pPr>
          </w:p>
        </w:tc>
        <w:tc>
          <w:tcPr>
            <w:tcW w:w="374" w:type="pct"/>
            <w:vAlign w:val="center"/>
          </w:tcPr>
          <w:p w14:paraId="33360437">
            <w:pPr>
              <w:pStyle w:val="4"/>
              <w:jc w:val="both"/>
              <w:rPr>
                <w:rFonts w:hint="eastAsia" w:ascii="宋体" w:hAnsi="宋体" w:eastAsia="宋体" w:cs="宋体"/>
                <w:bCs/>
                <w:color w:val="auto"/>
                <w:sz w:val="24"/>
                <w:szCs w:val="24"/>
                <w:highlight w:val="none"/>
                <w:vertAlign w:val="baseline"/>
              </w:rPr>
            </w:pPr>
          </w:p>
        </w:tc>
      </w:tr>
      <w:tr w14:paraId="1D79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pct"/>
            <w:vMerge w:val="continue"/>
            <w:vAlign w:val="center"/>
          </w:tcPr>
          <w:p w14:paraId="09DB532B">
            <w:pPr>
              <w:pStyle w:val="4"/>
              <w:jc w:val="both"/>
              <w:rPr>
                <w:rFonts w:hint="eastAsia" w:ascii="宋体" w:hAnsi="宋体" w:eastAsia="宋体" w:cs="宋体"/>
                <w:bCs/>
                <w:color w:val="auto"/>
                <w:sz w:val="24"/>
                <w:szCs w:val="24"/>
                <w:highlight w:val="none"/>
                <w:vertAlign w:val="baseline"/>
                <w:lang w:val="en-US" w:eastAsia="zh-CN"/>
              </w:rPr>
            </w:pPr>
          </w:p>
        </w:tc>
        <w:tc>
          <w:tcPr>
            <w:tcW w:w="1111" w:type="pct"/>
            <w:vAlign w:val="center"/>
          </w:tcPr>
          <w:p w14:paraId="68CB2FF0">
            <w:pPr>
              <w:jc w:val="both"/>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color w:val="auto"/>
                <w:sz w:val="24"/>
                <w:szCs w:val="24"/>
                <w:highlight w:val="none"/>
              </w:rPr>
              <w:t>肾功 （</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2466" w:type="pct"/>
            <w:vAlign w:val="center"/>
          </w:tcPr>
          <w:p w14:paraId="7B553552">
            <w:pPr>
              <w:pStyle w:val="4"/>
              <w:jc w:val="both"/>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i w:val="0"/>
                <w:iCs w:val="0"/>
                <w:color w:val="auto"/>
                <w:kern w:val="0"/>
                <w:sz w:val="24"/>
                <w:szCs w:val="24"/>
                <w:highlight w:val="none"/>
                <w:u w:val="none"/>
                <w:lang w:val="en-US" w:eastAsia="zh-CN" w:bidi="ar"/>
              </w:rPr>
              <w:t>肌酐(Cr)、尿素氮(BUN)、血尿酸(UA)。</w:t>
            </w:r>
            <w:r>
              <w:rPr>
                <w:rFonts w:hint="eastAsia" w:ascii="宋体" w:hAnsi="宋体" w:eastAsia="宋体" w:cs="宋体"/>
                <w:color w:val="auto"/>
                <w:kern w:val="2"/>
                <w:sz w:val="24"/>
                <w:szCs w:val="24"/>
                <w:highlight w:val="none"/>
                <w:lang w:val="en-US" w:eastAsia="zh-CN" w:bidi="ar-SA"/>
              </w:rPr>
              <w:t>可提示有无肾功能损害：如慢性肾炎，肾盂肾炎，肾结核，肾肿瘤，尿毒症等。</w:t>
            </w:r>
          </w:p>
        </w:tc>
        <w:tc>
          <w:tcPr>
            <w:tcW w:w="360" w:type="pct"/>
            <w:vAlign w:val="center"/>
          </w:tcPr>
          <w:p w14:paraId="56E52BDB">
            <w:pPr>
              <w:pStyle w:val="4"/>
              <w:jc w:val="both"/>
              <w:rPr>
                <w:rFonts w:hint="eastAsia" w:ascii="宋体" w:hAnsi="宋体" w:eastAsia="宋体" w:cs="宋体"/>
                <w:bCs/>
                <w:color w:val="auto"/>
                <w:sz w:val="24"/>
                <w:szCs w:val="24"/>
                <w:highlight w:val="none"/>
                <w:vertAlign w:val="baseline"/>
              </w:rPr>
            </w:pPr>
          </w:p>
        </w:tc>
        <w:tc>
          <w:tcPr>
            <w:tcW w:w="374" w:type="pct"/>
            <w:vAlign w:val="center"/>
          </w:tcPr>
          <w:p w14:paraId="3CC12454">
            <w:pPr>
              <w:pStyle w:val="4"/>
              <w:jc w:val="both"/>
              <w:rPr>
                <w:rFonts w:hint="eastAsia" w:ascii="宋体" w:hAnsi="宋体" w:eastAsia="宋体" w:cs="宋体"/>
                <w:bCs/>
                <w:color w:val="auto"/>
                <w:sz w:val="24"/>
                <w:szCs w:val="24"/>
                <w:highlight w:val="none"/>
                <w:vertAlign w:val="baseline"/>
              </w:rPr>
            </w:pPr>
          </w:p>
        </w:tc>
      </w:tr>
      <w:tr w14:paraId="38E2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685" w:type="pct"/>
            <w:vMerge w:val="continue"/>
            <w:vAlign w:val="center"/>
          </w:tcPr>
          <w:p w14:paraId="60D4E78C">
            <w:pPr>
              <w:pStyle w:val="4"/>
              <w:jc w:val="both"/>
              <w:rPr>
                <w:rFonts w:hint="eastAsia" w:ascii="宋体" w:hAnsi="宋体" w:eastAsia="宋体" w:cs="宋体"/>
                <w:bCs/>
                <w:color w:val="auto"/>
                <w:sz w:val="24"/>
                <w:szCs w:val="24"/>
                <w:highlight w:val="none"/>
                <w:vertAlign w:val="baseline"/>
              </w:rPr>
            </w:pPr>
          </w:p>
        </w:tc>
        <w:tc>
          <w:tcPr>
            <w:tcW w:w="1111" w:type="pct"/>
            <w:vAlign w:val="center"/>
          </w:tcPr>
          <w:p w14:paraId="3B07AE22">
            <w:pPr>
              <w:jc w:val="both"/>
              <w:rPr>
                <w:rFonts w:hint="eastAsia" w:ascii="宋体" w:hAnsi="宋体" w:eastAsia="宋体" w:cs="宋体"/>
                <w:bCs/>
                <w:color w:val="auto"/>
                <w:sz w:val="24"/>
                <w:szCs w:val="24"/>
                <w:highlight w:val="none"/>
                <w:vertAlign w:val="baseline"/>
                <w:lang w:val="en-US"/>
              </w:rPr>
            </w:pPr>
            <w:r>
              <w:rPr>
                <w:rFonts w:hint="eastAsia" w:ascii="宋体" w:hAnsi="宋体" w:eastAsia="宋体" w:cs="宋体"/>
                <w:color w:val="auto"/>
                <w:sz w:val="24"/>
                <w:szCs w:val="24"/>
                <w:highlight w:val="none"/>
              </w:rPr>
              <w:t>血脂（</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项）</w:t>
            </w:r>
          </w:p>
        </w:tc>
        <w:tc>
          <w:tcPr>
            <w:tcW w:w="2466" w:type="pct"/>
            <w:vAlign w:val="center"/>
          </w:tcPr>
          <w:p w14:paraId="2CC12E0E">
            <w:pPr>
              <w:pStyle w:val="4"/>
              <w:jc w:val="both"/>
              <w:rPr>
                <w:rFonts w:hint="eastAsia" w:ascii="宋体" w:hAnsi="宋体" w:eastAsia="宋体" w:cs="宋体"/>
                <w:bCs/>
                <w:color w:val="auto"/>
                <w:sz w:val="24"/>
                <w:szCs w:val="24"/>
                <w:highlight w:val="none"/>
                <w:vertAlign w:val="baseline"/>
                <w:lang w:eastAsia="zh-CN"/>
              </w:rPr>
            </w:pPr>
            <w:r>
              <w:rPr>
                <w:rFonts w:hint="eastAsia" w:ascii="宋体" w:hAnsi="宋体" w:eastAsia="宋体" w:cs="宋体"/>
                <w:i w:val="0"/>
                <w:iCs w:val="0"/>
                <w:color w:val="auto"/>
                <w:kern w:val="0"/>
                <w:sz w:val="24"/>
                <w:szCs w:val="24"/>
                <w:highlight w:val="none"/>
                <w:u w:val="none"/>
                <w:lang w:val="en-US" w:eastAsia="zh-CN" w:bidi="ar"/>
              </w:rPr>
              <w:t>总胆固醇、甘油三脂.高密度脂蛋白、低密度脂蛋白。了</w:t>
            </w:r>
            <w:r>
              <w:rPr>
                <w:rFonts w:hint="eastAsia" w:ascii="宋体" w:hAnsi="宋体" w:eastAsia="宋体" w:cs="宋体"/>
                <w:color w:val="auto"/>
                <w:sz w:val="24"/>
                <w:szCs w:val="24"/>
                <w:highlight w:val="none"/>
              </w:rPr>
              <w:t>解血清中各类脂质含量，明确有无脂质代谢紊乱</w:t>
            </w:r>
            <w:r>
              <w:rPr>
                <w:rFonts w:hint="eastAsia" w:ascii="宋体" w:hAnsi="宋体" w:eastAsia="宋体" w:cs="宋体"/>
                <w:color w:val="auto"/>
                <w:sz w:val="24"/>
                <w:szCs w:val="24"/>
                <w:highlight w:val="none"/>
                <w:lang w:eastAsia="zh-CN"/>
              </w:rPr>
              <w:t>。</w:t>
            </w:r>
          </w:p>
        </w:tc>
        <w:tc>
          <w:tcPr>
            <w:tcW w:w="360" w:type="pct"/>
            <w:vAlign w:val="center"/>
          </w:tcPr>
          <w:p w14:paraId="40832FCD">
            <w:pPr>
              <w:pStyle w:val="4"/>
              <w:jc w:val="both"/>
              <w:rPr>
                <w:rFonts w:hint="eastAsia" w:ascii="宋体" w:hAnsi="宋体" w:eastAsia="宋体" w:cs="宋体"/>
                <w:bCs/>
                <w:color w:val="auto"/>
                <w:sz w:val="24"/>
                <w:szCs w:val="24"/>
                <w:highlight w:val="none"/>
                <w:vertAlign w:val="baseline"/>
              </w:rPr>
            </w:pPr>
          </w:p>
        </w:tc>
        <w:tc>
          <w:tcPr>
            <w:tcW w:w="374" w:type="pct"/>
            <w:vAlign w:val="center"/>
          </w:tcPr>
          <w:p w14:paraId="7E1405B1">
            <w:pPr>
              <w:pStyle w:val="4"/>
              <w:jc w:val="both"/>
              <w:rPr>
                <w:rFonts w:hint="eastAsia" w:ascii="宋体" w:hAnsi="宋体" w:eastAsia="宋体" w:cs="宋体"/>
                <w:bCs/>
                <w:color w:val="auto"/>
                <w:sz w:val="24"/>
                <w:szCs w:val="24"/>
                <w:highlight w:val="none"/>
                <w:vertAlign w:val="baseline"/>
              </w:rPr>
            </w:pPr>
          </w:p>
        </w:tc>
      </w:tr>
      <w:tr w14:paraId="205B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85" w:type="pct"/>
            <w:vMerge w:val="continue"/>
            <w:vAlign w:val="center"/>
          </w:tcPr>
          <w:p w14:paraId="334FAE8B">
            <w:pPr>
              <w:pStyle w:val="4"/>
              <w:jc w:val="both"/>
              <w:rPr>
                <w:rFonts w:hint="eastAsia" w:ascii="宋体" w:hAnsi="宋体" w:eastAsia="宋体" w:cs="宋体"/>
                <w:bCs/>
                <w:color w:val="auto"/>
                <w:sz w:val="24"/>
                <w:szCs w:val="24"/>
                <w:highlight w:val="none"/>
                <w:vertAlign w:val="baseline"/>
              </w:rPr>
            </w:pPr>
          </w:p>
        </w:tc>
        <w:tc>
          <w:tcPr>
            <w:tcW w:w="1111" w:type="pct"/>
            <w:vAlign w:val="center"/>
          </w:tcPr>
          <w:p w14:paraId="49019CEA">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甲状腺功能3项（男性）</w:t>
            </w:r>
          </w:p>
        </w:tc>
        <w:tc>
          <w:tcPr>
            <w:tcW w:w="2466" w:type="pct"/>
            <w:vAlign w:val="center"/>
          </w:tcPr>
          <w:p w14:paraId="2035C1FD">
            <w:pPr>
              <w:tabs>
                <w:tab w:val="left" w:pos="686"/>
              </w:tabs>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FT3.FT4.TSH。用于甲状腺功能评价、甲状腺疾病诊断及治疗监测。</w:t>
            </w:r>
          </w:p>
        </w:tc>
        <w:tc>
          <w:tcPr>
            <w:tcW w:w="360" w:type="pct"/>
            <w:vAlign w:val="center"/>
          </w:tcPr>
          <w:p w14:paraId="5CE1D667">
            <w:pPr>
              <w:pStyle w:val="4"/>
              <w:jc w:val="both"/>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28966C1F">
            <w:pPr>
              <w:pStyle w:val="4"/>
              <w:jc w:val="both"/>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r>
      <w:tr w14:paraId="7680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685" w:type="pct"/>
            <w:vMerge w:val="continue"/>
            <w:vAlign w:val="center"/>
          </w:tcPr>
          <w:p w14:paraId="48FF2071">
            <w:pPr>
              <w:pStyle w:val="4"/>
              <w:jc w:val="both"/>
              <w:rPr>
                <w:rFonts w:hint="eastAsia" w:ascii="宋体" w:hAnsi="宋体" w:eastAsia="宋体" w:cs="宋体"/>
                <w:bCs/>
                <w:color w:val="auto"/>
                <w:sz w:val="24"/>
                <w:szCs w:val="24"/>
                <w:highlight w:val="none"/>
                <w:vertAlign w:val="baseline"/>
              </w:rPr>
            </w:pPr>
          </w:p>
        </w:tc>
        <w:tc>
          <w:tcPr>
            <w:tcW w:w="1111" w:type="pct"/>
            <w:vAlign w:val="center"/>
          </w:tcPr>
          <w:p w14:paraId="05FC1694">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甲状腺功能5项（女性）</w:t>
            </w:r>
          </w:p>
        </w:tc>
        <w:tc>
          <w:tcPr>
            <w:tcW w:w="2466" w:type="pct"/>
            <w:vAlign w:val="center"/>
          </w:tcPr>
          <w:p w14:paraId="13376BBB">
            <w:pPr>
              <w:tabs>
                <w:tab w:val="left" w:pos="686"/>
              </w:tabs>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（T3 、T4FT3.FT4.TSH）。用于甲状腺功能评价、甲状腺疾病诊断及治疗监测。</w:t>
            </w:r>
          </w:p>
        </w:tc>
        <w:tc>
          <w:tcPr>
            <w:tcW w:w="360" w:type="pct"/>
            <w:vAlign w:val="center"/>
          </w:tcPr>
          <w:p w14:paraId="42AB4954">
            <w:pPr>
              <w:pStyle w:val="4"/>
              <w:jc w:val="both"/>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c>
          <w:tcPr>
            <w:tcW w:w="374" w:type="pct"/>
            <w:vAlign w:val="center"/>
          </w:tcPr>
          <w:p w14:paraId="3D061E5D">
            <w:pPr>
              <w:pStyle w:val="4"/>
              <w:jc w:val="both"/>
              <w:rPr>
                <w:rFonts w:hint="eastAsia" w:ascii="宋体" w:hAnsi="宋体" w:eastAsia="宋体" w:cs="宋体"/>
                <w:bCs/>
                <w:color w:val="auto"/>
                <w:sz w:val="24"/>
                <w:szCs w:val="24"/>
                <w:highlight w:val="none"/>
                <w:vertAlign w:val="baseline"/>
                <w:lang w:val="en-US" w:eastAsia="zh-CN"/>
              </w:rPr>
            </w:pPr>
          </w:p>
        </w:tc>
      </w:tr>
      <w:tr w14:paraId="01D0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85" w:type="pct"/>
            <w:vMerge w:val="continue"/>
            <w:vAlign w:val="center"/>
          </w:tcPr>
          <w:p w14:paraId="24189EE1">
            <w:pPr>
              <w:pStyle w:val="4"/>
              <w:jc w:val="center"/>
              <w:rPr>
                <w:rFonts w:hint="eastAsia" w:ascii="宋体" w:hAnsi="宋体" w:eastAsia="宋体" w:cs="宋体"/>
                <w:bCs/>
                <w:color w:val="auto"/>
                <w:sz w:val="24"/>
                <w:szCs w:val="24"/>
                <w:highlight w:val="none"/>
                <w:vertAlign w:val="baseline"/>
              </w:rPr>
            </w:pPr>
          </w:p>
        </w:tc>
        <w:tc>
          <w:tcPr>
            <w:tcW w:w="1111" w:type="pct"/>
            <w:vAlign w:val="center"/>
          </w:tcPr>
          <w:p w14:paraId="1899CF81">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空腹血糖</w:t>
            </w:r>
          </w:p>
        </w:tc>
        <w:tc>
          <w:tcPr>
            <w:tcW w:w="2466" w:type="pct"/>
            <w:vAlign w:val="center"/>
          </w:tcPr>
          <w:p w14:paraId="2E6533AC">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了解空腹状态下血糖代谢水平</w:t>
            </w:r>
          </w:p>
        </w:tc>
        <w:tc>
          <w:tcPr>
            <w:tcW w:w="360" w:type="pct"/>
            <w:vAlign w:val="center"/>
          </w:tcPr>
          <w:p w14:paraId="73B1046C">
            <w:pPr>
              <w:pStyle w:val="4"/>
              <w:jc w:val="center"/>
              <w:rPr>
                <w:rFonts w:hint="eastAsia" w:ascii="宋体" w:hAnsi="宋体" w:eastAsia="宋体" w:cs="宋体"/>
                <w:bCs/>
                <w:color w:val="auto"/>
                <w:sz w:val="24"/>
                <w:szCs w:val="24"/>
                <w:highlight w:val="none"/>
                <w:vertAlign w:val="baseline"/>
              </w:rPr>
            </w:pPr>
          </w:p>
        </w:tc>
        <w:tc>
          <w:tcPr>
            <w:tcW w:w="374" w:type="pct"/>
            <w:vAlign w:val="center"/>
          </w:tcPr>
          <w:p w14:paraId="74ACCA35">
            <w:pPr>
              <w:pStyle w:val="4"/>
              <w:jc w:val="center"/>
              <w:rPr>
                <w:rFonts w:hint="eastAsia" w:ascii="宋体" w:hAnsi="宋体" w:eastAsia="宋体" w:cs="宋体"/>
                <w:bCs/>
                <w:color w:val="auto"/>
                <w:sz w:val="24"/>
                <w:szCs w:val="24"/>
                <w:highlight w:val="none"/>
                <w:vertAlign w:val="baseline"/>
              </w:rPr>
            </w:pPr>
          </w:p>
        </w:tc>
      </w:tr>
      <w:tr w14:paraId="73C7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85" w:type="pct"/>
            <w:vMerge w:val="continue"/>
            <w:vAlign w:val="center"/>
          </w:tcPr>
          <w:p w14:paraId="566E619D">
            <w:pPr>
              <w:pStyle w:val="4"/>
              <w:jc w:val="center"/>
              <w:rPr>
                <w:rFonts w:hint="eastAsia" w:ascii="宋体" w:hAnsi="宋体" w:eastAsia="宋体" w:cs="宋体"/>
                <w:bCs/>
                <w:color w:val="auto"/>
                <w:sz w:val="24"/>
                <w:szCs w:val="24"/>
                <w:highlight w:val="none"/>
                <w:vertAlign w:val="baseline"/>
              </w:rPr>
            </w:pPr>
          </w:p>
        </w:tc>
        <w:tc>
          <w:tcPr>
            <w:tcW w:w="1111" w:type="pct"/>
            <w:vAlign w:val="center"/>
          </w:tcPr>
          <w:p w14:paraId="6120D185">
            <w:pPr>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尿常规</w:t>
            </w:r>
          </w:p>
        </w:tc>
        <w:tc>
          <w:tcPr>
            <w:tcW w:w="2466" w:type="pct"/>
            <w:vAlign w:val="center"/>
          </w:tcPr>
          <w:p w14:paraId="52684F7A">
            <w:pPr>
              <w:tabs>
                <w:tab w:val="left" w:pos="662"/>
              </w:tabs>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筛查泌尿系统疾病简单并且准确的方法</w:t>
            </w:r>
          </w:p>
        </w:tc>
        <w:tc>
          <w:tcPr>
            <w:tcW w:w="360" w:type="pct"/>
            <w:vAlign w:val="center"/>
          </w:tcPr>
          <w:p w14:paraId="2D3E57B3">
            <w:pPr>
              <w:pStyle w:val="4"/>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43D3C922">
            <w:pPr>
              <w:pStyle w:val="4"/>
              <w:jc w:val="center"/>
              <w:rPr>
                <w:rFonts w:hint="eastAsia" w:ascii="宋体" w:hAnsi="宋体" w:eastAsia="宋体" w:cs="宋体"/>
                <w:bCs/>
                <w:color w:val="auto"/>
                <w:sz w:val="24"/>
                <w:szCs w:val="24"/>
                <w:highlight w:val="none"/>
                <w:vertAlign w:val="baseline"/>
                <w:lang w:val="en-US" w:eastAsia="zh-CN"/>
              </w:rPr>
            </w:pPr>
          </w:p>
        </w:tc>
      </w:tr>
      <w:tr w14:paraId="5F39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685" w:type="pct"/>
            <w:vMerge w:val="continue"/>
            <w:vAlign w:val="center"/>
          </w:tcPr>
          <w:p w14:paraId="7A963CA0">
            <w:pPr>
              <w:pStyle w:val="4"/>
              <w:jc w:val="center"/>
              <w:rPr>
                <w:rFonts w:hint="eastAsia" w:ascii="宋体" w:hAnsi="宋体" w:eastAsia="宋体" w:cs="宋体"/>
                <w:bCs/>
                <w:color w:val="auto"/>
                <w:sz w:val="24"/>
                <w:szCs w:val="24"/>
                <w:highlight w:val="none"/>
                <w:vertAlign w:val="baseline"/>
              </w:rPr>
            </w:pPr>
          </w:p>
        </w:tc>
        <w:tc>
          <w:tcPr>
            <w:tcW w:w="1111" w:type="pct"/>
            <w:vAlign w:val="center"/>
          </w:tcPr>
          <w:p w14:paraId="51773B79">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尿沉渣镜检</w:t>
            </w:r>
          </w:p>
        </w:tc>
        <w:tc>
          <w:tcPr>
            <w:tcW w:w="2466" w:type="pct"/>
            <w:vAlign w:val="center"/>
          </w:tcPr>
          <w:p w14:paraId="45FFB39C">
            <w:pPr>
              <w:tabs>
                <w:tab w:val="left" w:pos="662"/>
              </w:tabs>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用于检查泌尿系统疾病。</w:t>
            </w:r>
          </w:p>
        </w:tc>
        <w:tc>
          <w:tcPr>
            <w:tcW w:w="360" w:type="pct"/>
            <w:vAlign w:val="center"/>
          </w:tcPr>
          <w:p w14:paraId="6102802F">
            <w:pPr>
              <w:pStyle w:val="4"/>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49C578E4">
            <w:pPr>
              <w:pStyle w:val="4"/>
              <w:jc w:val="center"/>
              <w:rPr>
                <w:rFonts w:hint="eastAsia" w:ascii="宋体" w:hAnsi="宋体" w:eastAsia="宋体" w:cs="宋体"/>
                <w:bCs/>
                <w:color w:val="auto"/>
                <w:sz w:val="24"/>
                <w:szCs w:val="24"/>
                <w:highlight w:val="none"/>
                <w:vertAlign w:val="baseline"/>
                <w:lang w:val="en-US" w:eastAsia="zh-CN"/>
              </w:rPr>
            </w:pPr>
          </w:p>
        </w:tc>
      </w:tr>
      <w:tr w14:paraId="2B01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685" w:type="pct"/>
            <w:vMerge w:val="continue"/>
            <w:vAlign w:val="center"/>
          </w:tcPr>
          <w:p w14:paraId="4E95414E">
            <w:pPr>
              <w:pStyle w:val="4"/>
              <w:jc w:val="center"/>
              <w:rPr>
                <w:rFonts w:hint="eastAsia" w:ascii="宋体" w:hAnsi="宋体" w:eastAsia="宋体" w:cs="宋体"/>
                <w:bCs/>
                <w:color w:val="auto"/>
                <w:sz w:val="24"/>
                <w:szCs w:val="24"/>
                <w:highlight w:val="none"/>
                <w:vertAlign w:val="baseline"/>
              </w:rPr>
            </w:pPr>
          </w:p>
        </w:tc>
        <w:tc>
          <w:tcPr>
            <w:tcW w:w="1111" w:type="pct"/>
            <w:vAlign w:val="center"/>
          </w:tcPr>
          <w:p w14:paraId="67A20492">
            <w:pPr>
              <w:jc w:val="both"/>
              <w:rPr>
                <w:rFonts w:hint="eastAsia" w:ascii="宋体" w:hAnsi="宋体" w:eastAsia="宋体" w:cs="宋体"/>
                <w:color w:val="auto"/>
                <w:sz w:val="24"/>
                <w:szCs w:val="24"/>
                <w:highlight w:val="none"/>
                <w:lang w:val="en-US" w:eastAsia="zh-CN"/>
              </w:rPr>
            </w:pPr>
            <w:r>
              <w:rPr>
                <w:rFonts w:hint="eastAsia" w:ascii="宋体" w:hAnsi="宋体" w:eastAsia="宋体" w:cs="宋体"/>
                <w:spacing w:val="-1"/>
                <w:sz w:val="24"/>
                <w:szCs w:val="24"/>
              </w:rPr>
              <w:t>肿瘤标</w:t>
            </w:r>
            <w:r>
              <w:rPr>
                <w:rFonts w:hint="eastAsia" w:ascii="宋体" w:hAnsi="宋体" w:eastAsia="宋体" w:cs="宋体"/>
                <w:spacing w:val="2"/>
                <w:sz w:val="24"/>
                <w:szCs w:val="24"/>
              </w:rPr>
              <w:t>志物</w:t>
            </w:r>
            <w:r>
              <w:rPr>
                <w:rFonts w:hint="eastAsia" w:ascii="宋体" w:hAnsi="宋体" w:eastAsia="宋体" w:cs="宋体"/>
                <w:spacing w:val="2"/>
                <w:sz w:val="24"/>
                <w:szCs w:val="24"/>
                <w:lang w:val="en-US" w:eastAsia="zh-CN"/>
              </w:rPr>
              <w:t>7</w:t>
            </w:r>
            <w:r>
              <w:rPr>
                <w:rFonts w:hint="eastAsia" w:ascii="宋体" w:hAnsi="宋体" w:eastAsia="宋体" w:cs="宋体"/>
                <w:spacing w:val="2"/>
                <w:sz w:val="24"/>
                <w:szCs w:val="24"/>
              </w:rPr>
              <w:t>项</w:t>
            </w:r>
            <w:r>
              <w:rPr>
                <w:rFonts w:hint="eastAsia" w:ascii="宋体" w:hAnsi="宋体" w:eastAsia="宋体" w:cs="宋体"/>
                <w:sz w:val="24"/>
                <w:szCs w:val="24"/>
              </w:rPr>
              <w:t xml:space="preserve"> </w:t>
            </w:r>
            <w:r>
              <w:rPr>
                <w:rFonts w:hint="eastAsia" w:ascii="宋体" w:hAnsi="宋体" w:eastAsia="宋体" w:cs="宋体"/>
                <w:spacing w:val="17"/>
                <w:sz w:val="24"/>
                <w:szCs w:val="24"/>
              </w:rPr>
              <w:t>（男性</w:t>
            </w:r>
            <w:r>
              <w:rPr>
                <w:rFonts w:hint="eastAsia" w:ascii="宋体" w:hAnsi="宋体" w:eastAsia="宋体" w:cs="宋体"/>
                <w:sz w:val="24"/>
                <w:szCs w:val="24"/>
              </w:rPr>
              <w:t>)</w:t>
            </w:r>
          </w:p>
        </w:tc>
        <w:tc>
          <w:tcPr>
            <w:tcW w:w="2466" w:type="pct"/>
            <w:shd w:val="clear" w:color="auto" w:fill="auto"/>
            <w:vAlign w:val="center"/>
          </w:tcPr>
          <w:p w14:paraId="66EAA2C8">
            <w:pPr>
              <w:tabs>
                <w:tab w:val="center" w:pos="2040"/>
              </w:tabs>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甲胎蛋白（AFP）定量</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、癌胚抗原（CEA）定量、糖类抗原19-9（CA19-9）、鳞状细胞癌相关抗原SCC、游离前列腺特异性抗原（F-PSA）、FPSA/TPSA比值、前列腺特异性抗原（PSA）、</w:t>
            </w:r>
          </w:p>
        </w:tc>
        <w:tc>
          <w:tcPr>
            <w:tcW w:w="360" w:type="pct"/>
            <w:vAlign w:val="center"/>
          </w:tcPr>
          <w:p w14:paraId="15727A65">
            <w:pPr>
              <w:pStyle w:val="4"/>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0B5F179A">
            <w:pPr>
              <w:pStyle w:val="4"/>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r>
      <w:tr w14:paraId="3E7C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685" w:type="pct"/>
            <w:vMerge w:val="continue"/>
            <w:vAlign w:val="center"/>
          </w:tcPr>
          <w:p w14:paraId="6461C740">
            <w:pPr>
              <w:pStyle w:val="4"/>
              <w:jc w:val="center"/>
              <w:rPr>
                <w:rFonts w:hint="eastAsia" w:ascii="宋体" w:hAnsi="宋体" w:eastAsia="宋体" w:cs="宋体"/>
                <w:bCs/>
                <w:color w:val="auto"/>
                <w:sz w:val="24"/>
                <w:szCs w:val="24"/>
                <w:highlight w:val="none"/>
                <w:vertAlign w:val="baseline"/>
              </w:rPr>
            </w:pPr>
          </w:p>
        </w:tc>
        <w:tc>
          <w:tcPr>
            <w:tcW w:w="1111" w:type="pct"/>
            <w:vAlign w:val="center"/>
          </w:tcPr>
          <w:p w14:paraId="37BE47CD">
            <w:pPr>
              <w:jc w:val="both"/>
              <w:rPr>
                <w:rFonts w:hint="eastAsia" w:ascii="宋体" w:hAnsi="宋体" w:eastAsia="宋体" w:cs="宋体"/>
                <w:spacing w:val="-1"/>
                <w:sz w:val="24"/>
                <w:szCs w:val="24"/>
              </w:rPr>
            </w:pPr>
            <w:r>
              <w:rPr>
                <w:rFonts w:hint="eastAsia" w:ascii="宋体" w:hAnsi="宋体" w:eastAsia="宋体" w:cs="宋体"/>
                <w:spacing w:val="-1"/>
                <w:sz w:val="24"/>
                <w:szCs w:val="24"/>
              </w:rPr>
              <w:t>肿瘤标</w:t>
            </w:r>
            <w:r>
              <w:rPr>
                <w:rFonts w:hint="eastAsia" w:ascii="宋体" w:hAnsi="宋体" w:eastAsia="宋体" w:cs="宋体"/>
                <w:spacing w:val="2"/>
                <w:sz w:val="24"/>
                <w:szCs w:val="24"/>
              </w:rPr>
              <w:t>志物</w:t>
            </w:r>
            <w:r>
              <w:rPr>
                <w:rFonts w:hint="eastAsia" w:ascii="宋体" w:hAnsi="宋体" w:eastAsia="宋体" w:cs="宋体"/>
                <w:spacing w:val="2"/>
                <w:sz w:val="24"/>
                <w:szCs w:val="24"/>
                <w:lang w:val="en-US" w:eastAsia="zh-CN"/>
              </w:rPr>
              <w:t>6</w:t>
            </w:r>
            <w:r>
              <w:rPr>
                <w:rFonts w:hint="eastAsia" w:ascii="宋体" w:hAnsi="宋体" w:eastAsia="宋体" w:cs="宋体"/>
                <w:spacing w:val="2"/>
                <w:sz w:val="24"/>
                <w:szCs w:val="24"/>
              </w:rPr>
              <w:t>项</w:t>
            </w:r>
            <w:r>
              <w:rPr>
                <w:rFonts w:hint="eastAsia" w:ascii="宋体" w:hAnsi="宋体" w:eastAsia="宋体" w:cs="宋体"/>
                <w:sz w:val="24"/>
                <w:szCs w:val="24"/>
              </w:rPr>
              <w:t xml:space="preserve"> </w:t>
            </w:r>
            <w:r>
              <w:rPr>
                <w:rFonts w:hint="eastAsia" w:ascii="宋体" w:hAnsi="宋体" w:eastAsia="宋体" w:cs="宋体"/>
                <w:spacing w:val="17"/>
                <w:sz w:val="24"/>
                <w:szCs w:val="24"/>
              </w:rPr>
              <w:t>（</w:t>
            </w:r>
            <w:r>
              <w:rPr>
                <w:rFonts w:hint="eastAsia" w:ascii="宋体" w:hAnsi="宋体" w:eastAsia="宋体" w:cs="宋体"/>
                <w:spacing w:val="17"/>
                <w:sz w:val="24"/>
                <w:szCs w:val="24"/>
                <w:lang w:val="en-US" w:eastAsia="zh-CN"/>
              </w:rPr>
              <w:t>女</w:t>
            </w:r>
            <w:r>
              <w:rPr>
                <w:rFonts w:hint="eastAsia" w:ascii="宋体" w:hAnsi="宋体" w:eastAsia="宋体" w:cs="宋体"/>
                <w:spacing w:val="17"/>
                <w:sz w:val="24"/>
                <w:szCs w:val="24"/>
              </w:rPr>
              <w:t>性</w:t>
            </w:r>
            <w:r>
              <w:rPr>
                <w:rFonts w:hint="eastAsia" w:ascii="宋体" w:hAnsi="宋体" w:eastAsia="宋体" w:cs="宋体"/>
                <w:sz w:val="24"/>
                <w:szCs w:val="24"/>
              </w:rPr>
              <w:t>)</w:t>
            </w:r>
          </w:p>
        </w:tc>
        <w:tc>
          <w:tcPr>
            <w:tcW w:w="2466" w:type="pct"/>
            <w:vAlign w:val="center"/>
          </w:tcPr>
          <w:p w14:paraId="7F062FD2">
            <w:pPr>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甲胎蛋白（AFP）定量</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、癌胚抗原（CEA）定量、糖类抗原19-9（CA19-9）、CA724、糖类抗原125（CA125）、糖类抗原15-3（CA15-3）</w:t>
            </w:r>
          </w:p>
        </w:tc>
        <w:tc>
          <w:tcPr>
            <w:tcW w:w="360" w:type="pct"/>
            <w:vAlign w:val="center"/>
          </w:tcPr>
          <w:p w14:paraId="2E768352">
            <w:pPr>
              <w:pStyle w:val="4"/>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c>
          <w:tcPr>
            <w:tcW w:w="374" w:type="pct"/>
            <w:vAlign w:val="center"/>
          </w:tcPr>
          <w:p w14:paraId="581C6CC7">
            <w:pPr>
              <w:pStyle w:val="4"/>
              <w:jc w:val="center"/>
              <w:rPr>
                <w:rFonts w:hint="eastAsia" w:ascii="宋体" w:hAnsi="宋体" w:eastAsia="宋体" w:cs="宋体"/>
                <w:bCs/>
                <w:color w:val="auto"/>
                <w:sz w:val="24"/>
                <w:szCs w:val="24"/>
                <w:highlight w:val="none"/>
                <w:vertAlign w:val="baseline"/>
                <w:lang w:val="en-US" w:eastAsia="zh-CN"/>
              </w:rPr>
            </w:pPr>
          </w:p>
        </w:tc>
      </w:tr>
      <w:tr w14:paraId="6FAA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685" w:type="pct"/>
            <w:vMerge w:val="restart"/>
            <w:vAlign w:val="center"/>
          </w:tcPr>
          <w:p w14:paraId="133F37B7">
            <w:pPr>
              <w:pStyle w:val="4"/>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物理检查</w:t>
            </w:r>
          </w:p>
        </w:tc>
        <w:tc>
          <w:tcPr>
            <w:tcW w:w="1111" w:type="pct"/>
            <w:vAlign w:val="center"/>
          </w:tcPr>
          <w:p w14:paraId="0DDF86F0">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颈动脉彩超(双侧）</w:t>
            </w:r>
          </w:p>
        </w:tc>
        <w:tc>
          <w:tcPr>
            <w:tcW w:w="2466" w:type="pct"/>
            <w:vAlign w:val="center"/>
          </w:tcPr>
          <w:p w14:paraId="17448EB0">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检测颈动脉结构和动脉粥样硬化斑形态、范围、性质、动脉狭窄程度等；</w:t>
            </w:r>
          </w:p>
        </w:tc>
        <w:tc>
          <w:tcPr>
            <w:tcW w:w="360" w:type="pct"/>
            <w:vAlign w:val="center"/>
          </w:tcPr>
          <w:p w14:paraId="1BBA82B6">
            <w:pPr>
              <w:pStyle w:val="4"/>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56C63412">
            <w:pPr>
              <w:pStyle w:val="4"/>
              <w:jc w:val="center"/>
              <w:rPr>
                <w:rFonts w:hint="eastAsia" w:ascii="宋体" w:hAnsi="宋体" w:eastAsia="宋体" w:cs="宋体"/>
                <w:bCs/>
                <w:color w:val="auto"/>
                <w:sz w:val="24"/>
                <w:szCs w:val="24"/>
                <w:highlight w:val="none"/>
                <w:vertAlign w:val="baseline"/>
                <w:lang w:val="en-US" w:eastAsia="zh-CN"/>
              </w:rPr>
            </w:pPr>
          </w:p>
        </w:tc>
      </w:tr>
      <w:tr w14:paraId="3A1F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85" w:type="pct"/>
            <w:vMerge w:val="continue"/>
            <w:vAlign w:val="center"/>
          </w:tcPr>
          <w:p w14:paraId="43189D62">
            <w:pPr>
              <w:pStyle w:val="4"/>
              <w:jc w:val="center"/>
              <w:rPr>
                <w:rFonts w:hint="eastAsia" w:ascii="宋体" w:hAnsi="宋体" w:eastAsia="宋体" w:cs="宋体"/>
                <w:bCs/>
                <w:color w:val="auto"/>
                <w:sz w:val="24"/>
                <w:szCs w:val="24"/>
                <w:highlight w:val="none"/>
                <w:vertAlign w:val="baseline"/>
              </w:rPr>
            </w:pPr>
          </w:p>
        </w:tc>
        <w:tc>
          <w:tcPr>
            <w:tcW w:w="1111" w:type="pct"/>
            <w:shd w:val="clear" w:color="auto" w:fill="auto"/>
            <w:vAlign w:val="center"/>
          </w:tcPr>
          <w:p w14:paraId="2DB33DA8">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甲状腺彩超</w:t>
            </w:r>
          </w:p>
        </w:tc>
        <w:tc>
          <w:tcPr>
            <w:tcW w:w="2466" w:type="pct"/>
            <w:shd w:val="clear" w:color="auto" w:fill="auto"/>
            <w:vAlign w:val="center"/>
          </w:tcPr>
          <w:p w14:paraId="3980FF19">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了解有无甲状腺肿大、炎症、结节、占位等病变，了解颈部淋巴结情况</w:t>
            </w:r>
          </w:p>
        </w:tc>
        <w:tc>
          <w:tcPr>
            <w:tcW w:w="360" w:type="pct"/>
            <w:vAlign w:val="center"/>
          </w:tcPr>
          <w:p w14:paraId="2AF88EC6">
            <w:pPr>
              <w:pStyle w:val="4"/>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6784646F">
            <w:pPr>
              <w:pStyle w:val="4"/>
              <w:jc w:val="center"/>
              <w:rPr>
                <w:rFonts w:hint="eastAsia" w:ascii="宋体" w:hAnsi="宋体" w:eastAsia="宋体" w:cs="宋体"/>
                <w:bCs/>
                <w:color w:val="auto"/>
                <w:sz w:val="24"/>
                <w:szCs w:val="24"/>
                <w:highlight w:val="none"/>
                <w:vertAlign w:val="baseline"/>
                <w:lang w:val="en-US" w:eastAsia="zh-CN"/>
              </w:rPr>
            </w:pPr>
          </w:p>
        </w:tc>
      </w:tr>
      <w:tr w14:paraId="7D46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85" w:type="pct"/>
            <w:vMerge w:val="continue"/>
            <w:vAlign w:val="center"/>
          </w:tcPr>
          <w:p w14:paraId="4166C7EB">
            <w:pPr>
              <w:pStyle w:val="4"/>
              <w:jc w:val="center"/>
              <w:rPr>
                <w:rFonts w:hint="eastAsia" w:ascii="宋体" w:hAnsi="宋体" w:eastAsia="宋体" w:cs="宋体"/>
                <w:bCs/>
                <w:color w:val="auto"/>
                <w:sz w:val="24"/>
                <w:szCs w:val="24"/>
                <w:highlight w:val="none"/>
                <w:vertAlign w:val="baseline"/>
              </w:rPr>
            </w:pPr>
          </w:p>
        </w:tc>
        <w:tc>
          <w:tcPr>
            <w:tcW w:w="1111" w:type="pct"/>
            <w:shd w:val="clear" w:color="auto" w:fill="auto"/>
            <w:vAlign w:val="center"/>
          </w:tcPr>
          <w:p w14:paraId="271A2C01">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上腹部彩超</w:t>
            </w:r>
          </w:p>
        </w:tc>
        <w:tc>
          <w:tcPr>
            <w:tcW w:w="2466" w:type="pct"/>
            <w:shd w:val="clear" w:color="auto" w:fill="auto"/>
            <w:vAlign w:val="center"/>
          </w:tcPr>
          <w:p w14:paraId="7FFFAC97">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肝脏、胆囊、胰腺、脾脏、肾脏。了解肝、胆、胰、脾、肾的大小、形态、质地、位置及有无占位等</w:t>
            </w:r>
          </w:p>
        </w:tc>
        <w:tc>
          <w:tcPr>
            <w:tcW w:w="360" w:type="pct"/>
            <w:vAlign w:val="center"/>
          </w:tcPr>
          <w:p w14:paraId="6C1CD328">
            <w:pPr>
              <w:pStyle w:val="4"/>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1CE96DE4">
            <w:pPr>
              <w:pStyle w:val="4"/>
              <w:jc w:val="center"/>
              <w:rPr>
                <w:rFonts w:hint="eastAsia" w:ascii="宋体" w:hAnsi="宋体" w:eastAsia="宋体" w:cs="宋体"/>
                <w:bCs/>
                <w:color w:val="auto"/>
                <w:sz w:val="24"/>
                <w:szCs w:val="24"/>
                <w:highlight w:val="none"/>
                <w:vertAlign w:val="baseline"/>
                <w:lang w:val="en-US" w:eastAsia="zh-CN"/>
              </w:rPr>
            </w:pPr>
          </w:p>
        </w:tc>
      </w:tr>
      <w:tr w14:paraId="2C1E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685" w:type="pct"/>
            <w:vMerge w:val="continue"/>
            <w:vAlign w:val="center"/>
          </w:tcPr>
          <w:p w14:paraId="373322BE">
            <w:pPr>
              <w:pStyle w:val="4"/>
              <w:jc w:val="center"/>
              <w:rPr>
                <w:rFonts w:hint="eastAsia" w:ascii="宋体" w:hAnsi="宋体" w:eastAsia="宋体" w:cs="宋体"/>
                <w:bCs/>
                <w:color w:val="auto"/>
                <w:sz w:val="24"/>
                <w:szCs w:val="24"/>
                <w:highlight w:val="none"/>
                <w:vertAlign w:val="baseline"/>
                <w:lang w:val="en-US" w:eastAsia="zh-CN"/>
              </w:rPr>
            </w:pPr>
          </w:p>
        </w:tc>
        <w:tc>
          <w:tcPr>
            <w:tcW w:w="1111" w:type="pct"/>
            <w:shd w:val="clear" w:color="auto" w:fill="auto"/>
            <w:vAlign w:val="center"/>
          </w:tcPr>
          <w:p w14:paraId="5D304D8B">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乳腺彩超（女性）</w:t>
            </w:r>
          </w:p>
        </w:tc>
        <w:tc>
          <w:tcPr>
            <w:tcW w:w="2466" w:type="pct"/>
            <w:shd w:val="clear" w:color="auto" w:fill="auto"/>
            <w:vAlign w:val="center"/>
          </w:tcPr>
          <w:p w14:paraId="56598626">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了解有无乳腺增生、炎症、结节、占位等病变，了解腋窝淋巴结情况</w:t>
            </w:r>
          </w:p>
        </w:tc>
        <w:tc>
          <w:tcPr>
            <w:tcW w:w="360" w:type="pct"/>
            <w:vAlign w:val="center"/>
          </w:tcPr>
          <w:p w14:paraId="082F838F">
            <w:pPr>
              <w:pStyle w:val="4"/>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c>
          <w:tcPr>
            <w:tcW w:w="374" w:type="pct"/>
            <w:vAlign w:val="center"/>
          </w:tcPr>
          <w:p w14:paraId="5FF64F5E">
            <w:pPr>
              <w:pStyle w:val="4"/>
              <w:jc w:val="center"/>
              <w:rPr>
                <w:rFonts w:hint="eastAsia" w:ascii="宋体" w:hAnsi="宋体" w:eastAsia="宋体" w:cs="宋体"/>
                <w:bCs/>
                <w:color w:val="auto"/>
                <w:sz w:val="24"/>
                <w:szCs w:val="24"/>
                <w:highlight w:val="none"/>
                <w:vertAlign w:val="baseline"/>
                <w:lang w:val="en-US" w:eastAsia="zh-CN"/>
              </w:rPr>
            </w:pPr>
          </w:p>
        </w:tc>
      </w:tr>
      <w:tr w14:paraId="74D5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685" w:type="pct"/>
            <w:vMerge w:val="continue"/>
            <w:vAlign w:val="center"/>
          </w:tcPr>
          <w:p w14:paraId="0CFB19DB">
            <w:pPr>
              <w:pStyle w:val="4"/>
              <w:jc w:val="center"/>
              <w:rPr>
                <w:rFonts w:hint="eastAsia" w:ascii="宋体" w:hAnsi="宋体" w:eastAsia="宋体" w:cs="宋体"/>
                <w:bCs/>
                <w:color w:val="auto"/>
                <w:sz w:val="24"/>
                <w:szCs w:val="24"/>
                <w:highlight w:val="none"/>
                <w:vertAlign w:val="baseline"/>
              </w:rPr>
            </w:pPr>
          </w:p>
        </w:tc>
        <w:tc>
          <w:tcPr>
            <w:tcW w:w="1111" w:type="pct"/>
            <w:shd w:val="clear" w:color="auto" w:fill="auto"/>
            <w:vAlign w:val="center"/>
          </w:tcPr>
          <w:p w14:paraId="6DE6D29F">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下腹部彩超（女性）</w:t>
            </w:r>
          </w:p>
        </w:tc>
        <w:tc>
          <w:tcPr>
            <w:tcW w:w="2466" w:type="pct"/>
            <w:shd w:val="clear" w:color="auto" w:fill="auto"/>
            <w:vAlign w:val="center"/>
          </w:tcPr>
          <w:p w14:paraId="56BCD501">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了解检查部位各脏器有无形态学改变及占位性病变。</w:t>
            </w:r>
          </w:p>
        </w:tc>
        <w:tc>
          <w:tcPr>
            <w:tcW w:w="360" w:type="pct"/>
            <w:vAlign w:val="center"/>
          </w:tcPr>
          <w:p w14:paraId="0FB645FE">
            <w:pPr>
              <w:pStyle w:val="4"/>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c>
          <w:tcPr>
            <w:tcW w:w="374" w:type="pct"/>
            <w:vAlign w:val="center"/>
          </w:tcPr>
          <w:p w14:paraId="56D89428">
            <w:pPr>
              <w:pStyle w:val="4"/>
              <w:jc w:val="center"/>
              <w:rPr>
                <w:rFonts w:hint="eastAsia" w:ascii="宋体" w:hAnsi="宋体" w:eastAsia="宋体" w:cs="宋体"/>
                <w:bCs/>
                <w:color w:val="auto"/>
                <w:sz w:val="24"/>
                <w:szCs w:val="24"/>
                <w:highlight w:val="none"/>
                <w:vertAlign w:val="baseline"/>
                <w:lang w:val="en-US" w:eastAsia="zh-CN"/>
              </w:rPr>
            </w:pPr>
          </w:p>
        </w:tc>
      </w:tr>
      <w:tr w14:paraId="28B7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685" w:type="pct"/>
            <w:vMerge w:val="continue"/>
            <w:vAlign w:val="center"/>
          </w:tcPr>
          <w:p w14:paraId="6B696AFC">
            <w:pPr>
              <w:pStyle w:val="4"/>
              <w:jc w:val="center"/>
              <w:rPr>
                <w:rFonts w:hint="eastAsia" w:ascii="宋体" w:hAnsi="宋体" w:eastAsia="宋体" w:cs="宋体"/>
                <w:bCs/>
                <w:color w:val="auto"/>
                <w:sz w:val="24"/>
                <w:szCs w:val="24"/>
                <w:highlight w:val="none"/>
                <w:vertAlign w:val="baseline"/>
              </w:rPr>
            </w:pPr>
          </w:p>
        </w:tc>
        <w:tc>
          <w:tcPr>
            <w:tcW w:w="1111" w:type="pct"/>
            <w:shd w:val="clear" w:color="auto" w:fill="auto"/>
            <w:vAlign w:val="center"/>
          </w:tcPr>
          <w:p w14:paraId="1BFEDA1C">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下腹部彩超（男性）</w:t>
            </w:r>
          </w:p>
        </w:tc>
        <w:tc>
          <w:tcPr>
            <w:tcW w:w="2466" w:type="pct"/>
            <w:shd w:val="clear" w:color="auto" w:fill="auto"/>
            <w:vAlign w:val="center"/>
          </w:tcPr>
          <w:p w14:paraId="30C915F8">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了解检查部位各脏器有无形态学改变及占位性病变。</w:t>
            </w:r>
          </w:p>
        </w:tc>
        <w:tc>
          <w:tcPr>
            <w:tcW w:w="360" w:type="pct"/>
            <w:vAlign w:val="center"/>
          </w:tcPr>
          <w:p w14:paraId="38A6D037">
            <w:pPr>
              <w:pStyle w:val="4"/>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2F65B73F">
            <w:pPr>
              <w:pStyle w:val="4"/>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r>
      <w:tr w14:paraId="1F72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685" w:type="pct"/>
            <w:vMerge w:val="continue"/>
            <w:vAlign w:val="center"/>
          </w:tcPr>
          <w:p w14:paraId="795416FE">
            <w:pPr>
              <w:pStyle w:val="4"/>
              <w:jc w:val="center"/>
              <w:rPr>
                <w:rFonts w:hint="eastAsia" w:ascii="宋体" w:hAnsi="宋体" w:eastAsia="宋体" w:cs="宋体"/>
                <w:color w:val="auto"/>
                <w:kern w:val="2"/>
                <w:sz w:val="24"/>
                <w:szCs w:val="24"/>
                <w:highlight w:val="none"/>
                <w:lang w:val="en-US" w:eastAsia="zh-CN" w:bidi="ar-SA"/>
              </w:rPr>
            </w:pPr>
          </w:p>
        </w:tc>
        <w:tc>
          <w:tcPr>
            <w:tcW w:w="1111" w:type="pct"/>
            <w:vAlign w:val="center"/>
          </w:tcPr>
          <w:p w14:paraId="55AA22B5">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骨密度检测</w:t>
            </w:r>
          </w:p>
        </w:tc>
        <w:tc>
          <w:tcPr>
            <w:tcW w:w="2466" w:type="pct"/>
            <w:vAlign w:val="center"/>
          </w:tcPr>
          <w:p w14:paraId="299FC0C5">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骨密度检测</w:t>
            </w:r>
          </w:p>
        </w:tc>
        <w:tc>
          <w:tcPr>
            <w:tcW w:w="360" w:type="pct"/>
            <w:vAlign w:val="center"/>
          </w:tcPr>
          <w:p w14:paraId="71A69D76">
            <w:pPr>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0C1C94DD">
            <w:pPr>
              <w:jc w:val="center"/>
              <w:rPr>
                <w:rFonts w:hint="eastAsia" w:ascii="宋体" w:hAnsi="宋体" w:eastAsia="宋体" w:cs="宋体"/>
                <w:bCs/>
                <w:color w:val="auto"/>
                <w:sz w:val="24"/>
                <w:szCs w:val="24"/>
                <w:highlight w:val="none"/>
                <w:vertAlign w:val="baseline"/>
                <w:lang w:val="en-US" w:eastAsia="zh-CN"/>
              </w:rPr>
            </w:pPr>
          </w:p>
        </w:tc>
      </w:tr>
      <w:tr w14:paraId="2306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85" w:type="pct"/>
            <w:vMerge w:val="continue"/>
            <w:vAlign w:val="center"/>
          </w:tcPr>
          <w:p w14:paraId="216C0F30">
            <w:pPr>
              <w:pStyle w:val="4"/>
              <w:jc w:val="center"/>
              <w:rPr>
                <w:rFonts w:hint="eastAsia" w:ascii="宋体" w:hAnsi="宋体" w:eastAsia="宋体" w:cs="宋体"/>
                <w:color w:val="auto"/>
                <w:kern w:val="2"/>
                <w:sz w:val="24"/>
                <w:szCs w:val="24"/>
                <w:highlight w:val="none"/>
                <w:lang w:val="en-US" w:eastAsia="zh-CN" w:bidi="ar-SA"/>
              </w:rPr>
            </w:pPr>
          </w:p>
        </w:tc>
        <w:tc>
          <w:tcPr>
            <w:tcW w:w="1111" w:type="pct"/>
            <w:vAlign w:val="center"/>
          </w:tcPr>
          <w:p w14:paraId="45C6434E">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十二导联心电图</w:t>
            </w:r>
          </w:p>
        </w:tc>
        <w:tc>
          <w:tcPr>
            <w:tcW w:w="2466" w:type="pct"/>
            <w:vAlign w:val="center"/>
          </w:tcPr>
          <w:p w14:paraId="664BA9D6">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记录心脏电活动变化，诊断心律失常、心肌梗死及部位，了解有无心脏扩大等</w:t>
            </w:r>
          </w:p>
        </w:tc>
        <w:tc>
          <w:tcPr>
            <w:tcW w:w="360" w:type="pct"/>
            <w:vAlign w:val="center"/>
          </w:tcPr>
          <w:p w14:paraId="421B9800">
            <w:pPr>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277C61D9">
            <w:pPr>
              <w:jc w:val="center"/>
              <w:rPr>
                <w:rFonts w:hint="eastAsia" w:ascii="宋体" w:hAnsi="宋体" w:eastAsia="宋体" w:cs="宋体"/>
                <w:bCs/>
                <w:color w:val="auto"/>
                <w:sz w:val="24"/>
                <w:szCs w:val="24"/>
                <w:highlight w:val="none"/>
                <w:vertAlign w:val="baseline"/>
                <w:lang w:val="en-US" w:eastAsia="zh-CN"/>
              </w:rPr>
            </w:pPr>
          </w:p>
        </w:tc>
      </w:tr>
      <w:tr w14:paraId="0C58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685" w:type="pct"/>
            <w:vMerge w:val="continue"/>
            <w:vAlign w:val="center"/>
          </w:tcPr>
          <w:p w14:paraId="6E726E96">
            <w:pPr>
              <w:pStyle w:val="4"/>
              <w:jc w:val="center"/>
              <w:rPr>
                <w:rFonts w:hint="eastAsia" w:ascii="宋体" w:hAnsi="宋体" w:eastAsia="宋体" w:cs="宋体"/>
                <w:bCs/>
                <w:color w:val="auto"/>
                <w:sz w:val="24"/>
                <w:szCs w:val="24"/>
                <w:highlight w:val="none"/>
                <w:vertAlign w:val="baseline"/>
              </w:rPr>
            </w:pPr>
          </w:p>
        </w:tc>
        <w:tc>
          <w:tcPr>
            <w:tcW w:w="1111" w:type="pct"/>
            <w:vAlign w:val="center"/>
          </w:tcPr>
          <w:p w14:paraId="3FFED489">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胸部CT</w:t>
            </w:r>
          </w:p>
        </w:tc>
        <w:tc>
          <w:tcPr>
            <w:tcW w:w="2466" w:type="pct"/>
            <w:vAlign w:val="center"/>
          </w:tcPr>
          <w:p w14:paraId="6CDC3DA3">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筛查肺部和纵膈肿瘤，以及气管、支气管、肺部疾病，评估心脏形态大小等。</w:t>
            </w:r>
          </w:p>
        </w:tc>
        <w:tc>
          <w:tcPr>
            <w:tcW w:w="360" w:type="pct"/>
            <w:vAlign w:val="center"/>
          </w:tcPr>
          <w:p w14:paraId="553B8C4A">
            <w:pPr>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3A613201">
            <w:pPr>
              <w:jc w:val="center"/>
              <w:rPr>
                <w:rFonts w:hint="eastAsia" w:ascii="宋体" w:hAnsi="宋体" w:eastAsia="宋体" w:cs="宋体"/>
                <w:bCs/>
                <w:color w:val="auto"/>
                <w:sz w:val="24"/>
                <w:szCs w:val="24"/>
                <w:highlight w:val="none"/>
                <w:vertAlign w:val="baseline"/>
                <w:lang w:val="en-US" w:eastAsia="zh-CN"/>
              </w:rPr>
            </w:pPr>
          </w:p>
        </w:tc>
      </w:tr>
      <w:tr w14:paraId="17DA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685" w:type="pct"/>
            <w:vMerge w:val="restart"/>
            <w:vAlign w:val="center"/>
          </w:tcPr>
          <w:p w14:paraId="2A592DDE">
            <w:pPr>
              <w:pStyle w:val="4"/>
              <w:jc w:val="center"/>
              <w:rPr>
                <w:rFonts w:hint="eastAsia" w:ascii="宋体" w:hAnsi="宋体" w:eastAsia="宋体" w:cs="宋体"/>
                <w:bCs/>
                <w:color w:val="auto"/>
                <w:sz w:val="24"/>
                <w:szCs w:val="24"/>
                <w:highlight w:val="none"/>
                <w:vertAlign w:val="baseline"/>
              </w:rPr>
            </w:pPr>
            <w:r>
              <w:rPr>
                <w:rFonts w:hint="eastAsia" w:ascii="宋体" w:hAnsi="宋体" w:eastAsia="宋体" w:cs="宋体"/>
                <w:color w:val="auto"/>
                <w:kern w:val="2"/>
                <w:sz w:val="24"/>
                <w:szCs w:val="24"/>
                <w:highlight w:val="none"/>
                <w:lang w:val="en-US" w:eastAsia="zh-CN" w:bidi="ar-SA"/>
              </w:rPr>
              <w:t>妇科检查</w:t>
            </w:r>
          </w:p>
        </w:tc>
        <w:tc>
          <w:tcPr>
            <w:tcW w:w="1111" w:type="pct"/>
            <w:vAlign w:val="center"/>
          </w:tcPr>
          <w:p w14:paraId="325CAC7D">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妇科常规</w:t>
            </w:r>
          </w:p>
        </w:tc>
        <w:tc>
          <w:tcPr>
            <w:tcW w:w="2466" w:type="pct"/>
            <w:vAlign w:val="center"/>
          </w:tcPr>
          <w:p w14:paraId="21110D09">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了解外阴、阴道、宫颈、子宫、双侧输卵管及卵巢的形态、大小以及是否有炎症、肿块等。</w:t>
            </w:r>
          </w:p>
        </w:tc>
        <w:tc>
          <w:tcPr>
            <w:tcW w:w="360" w:type="pct"/>
            <w:vAlign w:val="center"/>
          </w:tcPr>
          <w:p w14:paraId="67ADB0B3">
            <w:pPr>
              <w:pStyle w:val="4"/>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c>
          <w:tcPr>
            <w:tcW w:w="374" w:type="pct"/>
            <w:vAlign w:val="center"/>
          </w:tcPr>
          <w:p w14:paraId="02E636DC">
            <w:pPr>
              <w:pStyle w:val="4"/>
              <w:jc w:val="center"/>
              <w:rPr>
                <w:rFonts w:hint="eastAsia" w:ascii="宋体" w:hAnsi="宋体" w:eastAsia="宋体" w:cs="宋体"/>
                <w:bCs/>
                <w:color w:val="auto"/>
                <w:sz w:val="24"/>
                <w:szCs w:val="24"/>
                <w:highlight w:val="none"/>
                <w:vertAlign w:val="baseline"/>
                <w:lang w:val="en-US" w:eastAsia="zh-CN"/>
              </w:rPr>
            </w:pPr>
          </w:p>
        </w:tc>
      </w:tr>
      <w:tr w14:paraId="4B82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85" w:type="pct"/>
            <w:vMerge w:val="continue"/>
            <w:vAlign w:val="center"/>
          </w:tcPr>
          <w:p w14:paraId="31496C8C">
            <w:pPr>
              <w:pStyle w:val="4"/>
              <w:jc w:val="center"/>
              <w:rPr>
                <w:rFonts w:hint="eastAsia" w:ascii="宋体" w:hAnsi="宋体" w:eastAsia="宋体" w:cs="宋体"/>
                <w:bCs/>
                <w:color w:val="auto"/>
                <w:sz w:val="24"/>
                <w:szCs w:val="24"/>
                <w:highlight w:val="none"/>
                <w:vertAlign w:val="baseline"/>
              </w:rPr>
            </w:pPr>
          </w:p>
        </w:tc>
        <w:tc>
          <w:tcPr>
            <w:tcW w:w="1111" w:type="pct"/>
            <w:vAlign w:val="center"/>
          </w:tcPr>
          <w:p w14:paraId="1437EB53">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白带常规</w:t>
            </w:r>
          </w:p>
        </w:tc>
        <w:tc>
          <w:tcPr>
            <w:tcW w:w="2466" w:type="pct"/>
            <w:vAlign w:val="center"/>
          </w:tcPr>
          <w:p w14:paraId="1109C179">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辅助诊断宫颈、阴道炎症</w:t>
            </w:r>
          </w:p>
        </w:tc>
        <w:tc>
          <w:tcPr>
            <w:tcW w:w="360" w:type="pct"/>
            <w:vAlign w:val="center"/>
          </w:tcPr>
          <w:p w14:paraId="484BBEAF">
            <w:pPr>
              <w:pStyle w:val="4"/>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c>
          <w:tcPr>
            <w:tcW w:w="374" w:type="pct"/>
            <w:vAlign w:val="center"/>
          </w:tcPr>
          <w:p w14:paraId="5508542C">
            <w:pPr>
              <w:pStyle w:val="4"/>
              <w:jc w:val="center"/>
              <w:rPr>
                <w:rFonts w:hint="eastAsia" w:ascii="宋体" w:hAnsi="宋体" w:eastAsia="宋体" w:cs="宋体"/>
                <w:bCs/>
                <w:color w:val="auto"/>
                <w:sz w:val="24"/>
                <w:szCs w:val="24"/>
                <w:highlight w:val="none"/>
                <w:vertAlign w:val="baseline"/>
                <w:lang w:val="en-US" w:eastAsia="zh-CN"/>
              </w:rPr>
            </w:pPr>
          </w:p>
        </w:tc>
      </w:tr>
      <w:tr w14:paraId="77FD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85" w:type="pct"/>
            <w:vMerge w:val="continue"/>
            <w:vAlign w:val="center"/>
          </w:tcPr>
          <w:p w14:paraId="7608A781">
            <w:pPr>
              <w:pStyle w:val="4"/>
              <w:jc w:val="center"/>
              <w:rPr>
                <w:rFonts w:hint="eastAsia" w:ascii="宋体" w:hAnsi="宋体" w:eastAsia="宋体" w:cs="宋体"/>
                <w:bCs/>
                <w:color w:val="auto"/>
                <w:sz w:val="24"/>
                <w:szCs w:val="24"/>
                <w:highlight w:val="none"/>
                <w:vertAlign w:val="baseline"/>
              </w:rPr>
            </w:pPr>
          </w:p>
        </w:tc>
        <w:tc>
          <w:tcPr>
            <w:tcW w:w="1111" w:type="pct"/>
            <w:vAlign w:val="center"/>
          </w:tcPr>
          <w:p w14:paraId="08289877">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TCT</w:t>
            </w:r>
          </w:p>
        </w:tc>
        <w:tc>
          <w:tcPr>
            <w:tcW w:w="2466" w:type="pct"/>
            <w:vAlign w:val="center"/>
          </w:tcPr>
          <w:p w14:paraId="59437B08">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辅助诊断宫颈癌</w:t>
            </w:r>
          </w:p>
        </w:tc>
        <w:tc>
          <w:tcPr>
            <w:tcW w:w="360" w:type="pct"/>
            <w:vAlign w:val="center"/>
          </w:tcPr>
          <w:p w14:paraId="2B98472B">
            <w:pPr>
              <w:pStyle w:val="4"/>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宋体"/>
                <w:bCs/>
                <w:color w:val="auto"/>
                <w:sz w:val="24"/>
                <w:szCs w:val="24"/>
                <w:highlight w:val="none"/>
                <w:vertAlign w:val="baseline"/>
                <w:lang w:val="en-US" w:eastAsia="zh-CN"/>
              </w:rPr>
              <w:t>－</w:t>
            </w:r>
          </w:p>
        </w:tc>
        <w:tc>
          <w:tcPr>
            <w:tcW w:w="374" w:type="pct"/>
            <w:vAlign w:val="center"/>
          </w:tcPr>
          <w:p w14:paraId="7767156F">
            <w:pPr>
              <w:pStyle w:val="4"/>
              <w:jc w:val="center"/>
              <w:rPr>
                <w:rFonts w:hint="eastAsia" w:ascii="宋体" w:hAnsi="宋体" w:eastAsia="宋体" w:cs="宋体"/>
                <w:bCs/>
                <w:color w:val="auto"/>
                <w:sz w:val="24"/>
                <w:szCs w:val="24"/>
                <w:highlight w:val="none"/>
                <w:vertAlign w:val="baseline"/>
                <w:lang w:val="en-US" w:eastAsia="zh-CN"/>
              </w:rPr>
            </w:pPr>
          </w:p>
        </w:tc>
      </w:tr>
      <w:tr w14:paraId="2AB8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685" w:type="pct"/>
            <w:vAlign w:val="center"/>
          </w:tcPr>
          <w:p w14:paraId="3BBA4E44">
            <w:pPr>
              <w:pStyle w:val="4"/>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C13</w:t>
            </w:r>
          </w:p>
        </w:tc>
        <w:tc>
          <w:tcPr>
            <w:tcW w:w="1111" w:type="pct"/>
            <w:vAlign w:val="center"/>
          </w:tcPr>
          <w:p w14:paraId="5ED9E4B4">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幽门螺杆菌（C13呼气试验）</w:t>
            </w:r>
          </w:p>
        </w:tc>
        <w:tc>
          <w:tcPr>
            <w:tcW w:w="2466" w:type="pct"/>
            <w:vAlign w:val="center"/>
          </w:tcPr>
          <w:p w14:paraId="2FBA4ECB">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了解有无细菌感染，评估胃炎、胃溃疡、胃癌风险</w:t>
            </w:r>
          </w:p>
        </w:tc>
        <w:tc>
          <w:tcPr>
            <w:tcW w:w="360" w:type="pct"/>
            <w:vAlign w:val="center"/>
          </w:tcPr>
          <w:p w14:paraId="619CA405">
            <w:pPr>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538DA6E8">
            <w:pPr>
              <w:jc w:val="center"/>
              <w:rPr>
                <w:rFonts w:hint="eastAsia" w:ascii="宋体" w:hAnsi="宋体" w:eastAsia="宋体" w:cs="宋体"/>
                <w:bCs/>
                <w:color w:val="auto"/>
                <w:sz w:val="24"/>
                <w:szCs w:val="24"/>
                <w:highlight w:val="none"/>
                <w:vertAlign w:val="baseline"/>
                <w:lang w:val="en-US" w:eastAsia="zh-CN"/>
              </w:rPr>
            </w:pPr>
          </w:p>
        </w:tc>
      </w:tr>
      <w:tr w14:paraId="10D9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85" w:type="pct"/>
            <w:vAlign w:val="center"/>
          </w:tcPr>
          <w:p w14:paraId="07FE191A">
            <w:pPr>
              <w:pStyle w:val="4"/>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血氧饱和度</w:t>
            </w:r>
          </w:p>
        </w:tc>
        <w:tc>
          <w:tcPr>
            <w:tcW w:w="1111" w:type="pct"/>
            <w:vAlign w:val="center"/>
          </w:tcPr>
          <w:p w14:paraId="0B99A329">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血氧饱和度</w:t>
            </w:r>
          </w:p>
        </w:tc>
        <w:tc>
          <w:tcPr>
            <w:tcW w:w="2466" w:type="pct"/>
            <w:vAlign w:val="center"/>
          </w:tcPr>
          <w:p w14:paraId="6C9F60CC">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血液中被氧和的血红蛋白占比。</w:t>
            </w:r>
          </w:p>
        </w:tc>
        <w:tc>
          <w:tcPr>
            <w:tcW w:w="360" w:type="pct"/>
            <w:vAlign w:val="center"/>
          </w:tcPr>
          <w:p w14:paraId="71971A0B">
            <w:pPr>
              <w:pStyle w:val="4"/>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0649E1B4">
            <w:pPr>
              <w:jc w:val="center"/>
              <w:rPr>
                <w:rFonts w:hint="eastAsia" w:ascii="宋体" w:hAnsi="宋体" w:eastAsia="宋体" w:cs="宋体"/>
                <w:bCs/>
                <w:color w:val="auto"/>
                <w:sz w:val="24"/>
                <w:szCs w:val="24"/>
                <w:highlight w:val="none"/>
                <w:vertAlign w:val="baseline"/>
                <w:lang w:val="en-US" w:eastAsia="zh-CN"/>
              </w:rPr>
            </w:pPr>
          </w:p>
        </w:tc>
      </w:tr>
      <w:tr w14:paraId="78F2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85" w:type="pct"/>
            <w:vAlign w:val="center"/>
          </w:tcPr>
          <w:p w14:paraId="498E94B7">
            <w:pPr>
              <w:pStyle w:val="4"/>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经颅多普勒TCD</w:t>
            </w:r>
          </w:p>
        </w:tc>
        <w:tc>
          <w:tcPr>
            <w:tcW w:w="1111" w:type="pct"/>
            <w:vAlign w:val="center"/>
          </w:tcPr>
          <w:p w14:paraId="1D3E76DB">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经颅多普勒TCD</w:t>
            </w:r>
          </w:p>
        </w:tc>
        <w:tc>
          <w:tcPr>
            <w:tcW w:w="2466" w:type="pct"/>
            <w:vAlign w:val="center"/>
          </w:tcPr>
          <w:p w14:paraId="095BF1FD">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通过脑多普勒超声对脑进行检查的一种方法。</w:t>
            </w:r>
          </w:p>
        </w:tc>
        <w:tc>
          <w:tcPr>
            <w:tcW w:w="360" w:type="pct"/>
            <w:vAlign w:val="center"/>
          </w:tcPr>
          <w:p w14:paraId="72279D02">
            <w:pPr>
              <w:pStyle w:val="4"/>
              <w:jc w:val="center"/>
              <w:rPr>
                <w:rFonts w:hint="eastAsia" w:ascii="宋体" w:hAnsi="宋体" w:eastAsia="宋体" w:cs="宋体"/>
                <w:bCs/>
                <w:color w:val="auto"/>
                <w:sz w:val="24"/>
                <w:szCs w:val="24"/>
                <w:highlight w:val="none"/>
                <w:vertAlign w:val="baseline"/>
                <w:lang w:val="en-US" w:eastAsia="zh-CN"/>
              </w:rPr>
            </w:pPr>
          </w:p>
        </w:tc>
        <w:tc>
          <w:tcPr>
            <w:tcW w:w="374" w:type="pct"/>
            <w:vAlign w:val="center"/>
          </w:tcPr>
          <w:p w14:paraId="76FD3DA6">
            <w:pPr>
              <w:jc w:val="center"/>
              <w:rPr>
                <w:rFonts w:hint="eastAsia" w:ascii="宋体" w:hAnsi="宋体" w:eastAsia="宋体" w:cs="宋体"/>
                <w:bCs/>
                <w:color w:val="auto"/>
                <w:sz w:val="24"/>
                <w:szCs w:val="24"/>
                <w:highlight w:val="none"/>
                <w:vertAlign w:val="baseline"/>
                <w:lang w:val="en-US" w:eastAsia="zh-CN"/>
              </w:rPr>
            </w:pPr>
          </w:p>
        </w:tc>
      </w:tr>
      <w:tr w14:paraId="33B0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5" w:type="pct"/>
            <w:vAlign w:val="center"/>
          </w:tcPr>
          <w:p w14:paraId="3F0DD383">
            <w:pPr>
              <w:keepNext w:val="0"/>
              <w:keepLines w:val="0"/>
              <w:pageBreakBefore w:val="0"/>
              <w:widowControl/>
              <w:kinsoku/>
              <w:wordWrap/>
              <w:overflowPunct/>
              <w:topLinePunct w:val="0"/>
              <w:autoSpaceDE/>
              <w:autoSpaceDN/>
              <w:bidi w:val="0"/>
              <w:adjustRightInd/>
              <w:spacing w:line="400" w:lineRule="exact"/>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核磁共振 </w:t>
            </w:r>
          </w:p>
          <w:p w14:paraId="7624A473">
            <w:pPr>
              <w:pStyle w:val="4"/>
              <w:tabs>
                <w:tab w:val="left" w:pos="475"/>
              </w:tabs>
              <w:jc w:val="left"/>
              <w:rPr>
                <w:rFonts w:hint="eastAsia" w:ascii="宋体" w:hAnsi="宋体" w:eastAsia="宋体" w:cs="宋体"/>
                <w:color w:val="auto"/>
                <w:kern w:val="2"/>
                <w:sz w:val="24"/>
                <w:szCs w:val="24"/>
                <w:highlight w:val="none"/>
                <w:lang w:val="en-US" w:eastAsia="zh-CN" w:bidi="ar-SA"/>
              </w:rPr>
            </w:pPr>
          </w:p>
        </w:tc>
        <w:tc>
          <w:tcPr>
            <w:tcW w:w="1111" w:type="pct"/>
            <w:vAlign w:val="center"/>
          </w:tcPr>
          <w:p w14:paraId="0815B526">
            <w:pPr>
              <w:keepNext w:val="0"/>
              <w:keepLines w:val="0"/>
              <w:pageBreakBefore w:val="0"/>
              <w:widowControl/>
              <w:kinsoku/>
              <w:wordWrap/>
              <w:overflowPunct/>
              <w:topLinePunct w:val="0"/>
              <w:autoSpaceDE/>
              <w:autoSpaceDN/>
              <w:bidi w:val="0"/>
              <w:adjustRightInd/>
              <w:spacing w:line="400" w:lineRule="exact"/>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核磁共振MRI平扫 （头颅、颈椎、腰椎三选一）</w:t>
            </w:r>
          </w:p>
          <w:p w14:paraId="6F544344">
            <w:pPr>
              <w:pStyle w:val="4"/>
              <w:jc w:val="left"/>
              <w:rPr>
                <w:rFonts w:hint="eastAsia" w:ascii="宋体" w:hAnsi="宋体" w:eastAsia="宋体" w:cs="宋体"/>
                <w:color w:val="auto"/>
                <w:kern w:val="2"/>
                <w:sz w:val="24"/>
                <w:szCs w:val="24"/>
                <w:highlight w:val="none"/>
                <w:lang w:val="en-US" w:eastAsia="zh-CN" w:bidi="ar-SA"/>
              </w:rPr>
            </w:pPr>
          </w:p>
        </w:tc>
        <w:tc>
          <w:tcPr>
            <w:tcW w:w="2466" w:type="pct"/>
            <w:vAlign w:val="center"/>
          </w:tcPr>
          <w:p w14:paraId="2E0009D1">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头颅检查：协助临床判定有无颅脑病变。</w:t>
            </w:r>
          </w:p>
          <w:p w14:paraId="770764B8">
            <w:pPr>
              <w:pStyle w:val="4"/>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骨质检查：可良好显示脊柱椎体、椎间盘、椎管、神经及周围软组织等结构。</w:t>
            </w:r>
          </w:p>
        </w:tc>
        <w:tc>
          <w:tcPr>
            <w:tcW w:w="360" w:type="pct"/>
            <w:vAlign w:val="center"/>
          </w:tcPr>
          <w:p w14:paraId="76DF5525">
            <w:pPr>
              <w:jc w:val="center"/>
              <w:rPr>
                <w:rFonts w:hint="eastAsia" w:ascii="宋体" w:hAnsi="宋体" w:eastAsia="宋体" w:cs="宋体"/>
                <w:bCs/>
                <w:color w:val="auto"/>
                <w:kern w:val="2"/>
                <w:sz w:val="24"/>
                <w:szCs w:val="24"/>
                <w:highlight w:val="none"/>
                <w:vertAlign w:val="baseline"/>
                <w:lang w:val="en-US" w:eastAsia="zh-CN" w:bidi="ar-SA"/>
              </w:rPr>
            </w:pPr>
          </w:p>
        </w:tc>
        <w:tc>
          <w:tcPr>
            <w:tcW w:w="374" w:type="pct"/>
            <w:vAlign w:val="center"/>
          </w:tcPr>
          <w:p w14:paraId="2D640A41">
            <w:pPr>
              <w:jc w:val="center"/>
              <w:rPr>
                <w:rFonts w:hint="eastAsia" w:ascii="宋体" w:hAnsi="宋体" w:eastAsia="宋体" w:cs="宋体"/>
                <w:bCs/>
                <w:color w:val="auto"/>
                <w:kern w:val="2"/>
                <w:sz w:val="24"/>
                <w:szCs w:val="24"/>
                <w:highlight w:val="none"/>
                <w:vertAlign w:val="baseline"/>
                <w:lang w:val="en-US" w:eastAsia="zh-CN" w:bidi="ar-SA"/>
              </w:rPr>
            </w:pPr>
          </w:p>
        </w:tc>
      </w:tr>
    </w:tbl>
    <w:p w14:paraId="34882B82">
      <w:pPr>
        <w:rPr>
          <w:rFonts w:hint="eastAsia" w:ascii="方正仿宋_GBK" w:hAnsi="方正仿宋_GBK" w:eastAsia="方正仿宋_GBK" w:cs="方正仿宋_GBK"/>
          <w:color w:val="auto"/>
          <w:sz w:val="24"/>
          <w:szCs w:val="24"/>
          <w:highlight w:val="none"/>
        </w:rPr>
      </w:pPr>
    </w:p>
    <w:tbl>
      <w:tblPr>
        <w:tblStyle w:val="5"/>
        <w:tblW w:w="5057" w:type="pct"/>
        <w:tblInd w:w="96" w:type="dxa"/>
        <w:tblLayout w:type="fixed"/>
        <w:tblCellMar>
          <w:top w:w="0" w:type="dxa"/>
          <w:left w:w="108" w:type="dxa"/>
          <w:bottom w:w="0" w:type="dxa"/>
          <w:right w:w="108" w:type="dxa"/>
        </w:tblCellMar>
      </w:tblPr>
      <w:tblGrid>
        <w:gridCol w:w="1718"/>
        <w:gridCol w:w="5634"/>
        <w:gridCol w:w="1"/>
        <w:gridCol w:w="599"/>
        <w:gridCol w:w="1"/>
        <w:gridCol w:w="635"/>
        <w:gridCol w:w="31"/>
      </w:tblGrid>
      <w:tr w14:paraId="1D7BC092">
        <w:tblPrEx>
          <w:tblCellMar>
            <w:top w:w="0" w:type="dxa"/>
            <w:left w:w="108" w:type="dxa"/>
            <w:bottom w:w="0" w:type="dxa"/>
            <w:right w:w="108" w:type="dxa"/>
          </w:tblCellMar>
        </w:tblPrEx>
        <w:trPr>
          <w:gridAfter w:val="1"/>
          <w:wAfter w:w="17" w:type="pct"/>
          <w:trHeight w:val="984" w:hRule="atLeast"/>
        </w:trPr>
        <w:tc>
          <w:tcPr>
            <w:tcW w:w="4982" w:type="pct"/>
            <w:gridSpan w:val="6"/>
            <w:tcBorders>
              <w:top w:val="single" w:color="000000" w:sz="4" w:space="0"/>
              <w:left w:val="single" w:color="000000" w:sz="4" w:space="0"/>
              <w:bottom w:val="single" w:color="000000" w:sz="4" w:space="0"/>
              <w:right w:val="single" w:color="000000" w:sz="4" w:space="0"/>
            </w:tcBorders>
            <w:noWrap w:val="0"/>
            <w:vAlign w:val="center"/>
          </w:tcPr>
          <w:p w14:paraId="329610C5">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加项包</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1+X套餐</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选1</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在基础套餐的基础上可选择任何1个加项包</w:t>
            </w:r>
            <w:r>
              <w:rPr>
                <w:rFonts w:hint="eastAsia" w:ascii="宋体" w:hAnsi="宋体" w:eastAsia="宋体" w:cs="宋体"/>
                <w:b/>
                <w:bCs/>
                <w:color w:val="auto"/>
                <w:sz w:val="24"/>
                <w:szCs w:val="24"/>
                <w:highlight w:val="none"/>
              </w:rPr>
              <w:t>）</w:t>
            </w:r>
          </w:p>
        </w:tc>
      </w:tr>
      <w:tr w14:paraId="1025FF55">
        <w:tblPrEx>
          <w:tblCellMar>
            <w:top w:w="0" w:type="dxa"/>
            <w:left w:w="108" w:type="dxa"/>
            <w:bottom w:w="0" w:type="dxa"/>
            <w:right w:w="108" w:type="dxa"/>
          </w:tblCellMar>
        </w:tblPrEx>
        <w:trPr>
          <w:gridAfter w:val="1"/>
          <w:wAfter w:w="17" w:type="pct"/>
          <w:trHeight w:val="569" w:hRule="atLeast"/>
        </w:trPr>
        <w:tc>
          <w:tcPr>
            <w:tcW w:w="4982" w:type="pct"/>
            <w:gridSpan w:val="6"/>
            <w:tcBorders>
              <w:top w:val="single" w:color="000000" w:sz="4" w:space="0"/>
              <w:left w:val="single" w:color="000000" w:sz="4" w:space="0"/>
              <w:bottom w:val="single" w:color="000000" w:sz="4" w:space="0"/>
              <w:right w:val="single" w:color="000000" w:sz="4" w:space="0"/>
            </w:tcBorders>
            <w:noWrap w:val="0"/>
            <w:vAlign w:val="center"/>
          </w:tcPr>
          <w:p w14:paraId="5EFF147F">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 xml:space="preserve">   </w:t>
            </w:r>
            <w:bookmarkStart w:id="0" w:name="_GoBack"/>
            <w:bookmarkEnd w:id="0"/>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加项包</w:t>
            </w: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限女性</w:t>
            </w:r>
            <w:r>
              <w:rPr>
                <w:rFonts w:hint="eastAsia" w:ascii="宋体" w:hAnsi="宋体" w:eastAsia="宋体" w:cs="宋体"/>
                <w:b/>
                <w:bCs/>
                <w:color w:val="auto"/>
                <w:sz w:val="24"/>
                <w:szCs w:val="24"/>
                <w:highlight w:val="none"/>
                <w:lang w:eastAsia="zh-CN"/>
              </w:rPr>
              <w:t>）</w:t>
            </w:r>
          </w:p>
        </w:tc>
      </w:tr>
      <w:tr w14:paraId="256B155D">
        <w:tblPrEx>
          <w:tblCellMar>
            <w:top w:w="0" w:type="dxa"/>
            <w:left w:w="108" w:type="dxa"/>
            <w:bottom w:w="0" w:type="dxa"/>
            <w:right w:w="108" w:type="dxa"/>
          </w:tblCellMar>
        </w:tblPrEx>
        <w:trPr>
          <w:gridAfter w:val="1"/>
          <w:wAfter w:w="17" w:type="pct"/>
          <w:trHeight w:val="1689"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6F155F5A">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HPV28型</w:t>
            </w:r>
          </w:p>
        </w:tc>
        <w:tc>
          <w:tcPr>
            <w:tcW w:w="3268" w:type="pct"/>
            <w:tcBorders>
              <w:top w:val="single" w:color="000000" w:sz="4" w:space="0"/>
              <w:left w:val="single" w:color="000000" w:sz="4" w:space="0"/>
              <w:bottom w:val="single" w:color="000000" w:sz="4" w:space="0"/>
              <w:right w:val="single" w:color="000000" w:sz="4" w:space="0"/>
            </w:tcBorders>
            <w:noWrap w:val="0"/>
            <w:vAlign w:val="center"/>
          </w:tcPr>
          <w:p w14:paraId="33AEAF75">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高危型6/18/26/31/33/35/39/45/51/52/53/56/58/</w:t>
            </w:r>
          </w:p>
          <w:p w14:paraId="72320455">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59/66/68/82；</w:t>
            </w:r>
          </w:p>
          <w:p w14:paraId="67D72870">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低危型6/11/40/42/43/44/55/61/81/83</w:t>
            </w:r>
            <w:r>
              <w:rPr>
                <w:rFonts w:hint="eastAsia" w:ascii="宋体" w:hAnsi="宋体" w:eastAsia="宋体" w:cs="宋体"/>
                <w:color w:val="auto"/>
                <w:sz w:val="24"/>
                <w:szCs w:val="24"/>
                <w:highlight w:val="none"/>
                <w:lang w:eastAsia="zh-CN"/>
              </w:rPr>
              <w:t>。</w:t>
            </w:r>
          </w:p>
        </w:tc>
        <w:tc>
          <w:tcPr>
            <w:tcW w:w="348" w:type="pct"/>
            <w:gridSpan w:val="2"/>
            <w:tcBorders>
              <w:top w:val="single" w:color="000000" w:sz="4" w:space="0"/>
              <w:left w:val="single" w:color="000000" w:sz="4" w:space="0"/>
              <w:bottom w:val="single" w:color="000000" w:sz="4" w:space="0"/>
              <w:right w:val="single" w:color="000000" w:sz="4" w:space="0"/>
            </w:tcBorders>
            <w:noWrap/>
            <w:vAlign w:val="center"/>
          </w:tcPr>
          <w:p w14:paraId="510168A5">
            <w:pPr>
              <w:keepNext w:val="0"/>
              <w:keepLines w:val="0"/>
              <w:pageBreakBefore w:val="0"/>
              <w:kinsoku/>
              <w:wordWrap/>
              <w:overflowPunct/>
              <w:topLinePunct w:val="0"/>
              <w:bidi w:val="0"/>
              <w:spacing w:line="312"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w:t>
            </w:r>
          </w:p>
        </w:tc>
        <w:tc>
          <w:tcPr>
            <w:tcW w:w="368" w:type="pct"/>
            <w:gridSpan w:val="2"/>
            <w:tcBorders>
              <w:top w:val="single" w:color="000000" w:sz="4" w:space="0"/>
              <w:left w:val="single" w:color="000000" w:sz="4" w:space="0"/>
              <w:bottom w:val="single" w:color="000000" w:sz="4" w:space="0"/>
              <w:right w:val="single" w:color="000000" w:sz="4" w:space="0"/>
            </w:tcBorders>
            <w:noWrap/>
            <w:vAlign w:val="center"/>
          </w:tcPr>
          <w:p w14:paraId="12881548">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77BF1261">
        <w:tblPrEx>
          <w:tblCellMar>
            <w:top w:w="0" w:type="dxa"/>
            <w:left w:w="108" w:type="dxa"/>
            <w:bottom w:w="0" w:type="dxa"/>
            <w:right w:w="108" w:type="dxa"/>
          </w:tblCellMar>
        </w:tblPrEx>
        <w:trPr>
          <w:trHeight w:val="569" w:hRule="atLeast"/>
        </w:trPr>
        <w:tc>
          <w:tcPr>
            <w:tcW w:w="5000" w:type="pct"/>
            <w:gridSpan w:val="7"/>
            <w:tcBorders>
              <w:top w:val="single" w:color="000000" w:sz="4" w:space="0"/>
              <w:left w:val="single" w:color="000000" w:sz="4" w:space="0"/>
              <w:bottom w:val="single" w:color="000000" w:sz="4" w:space="0"/>
              <w:right w:val="single" w:color="000000" w:sz="4" w:space="0"/>
            </w:tcBorders>
            <w:noWrap w:val="0"/>
            <w:vAlign w:val="center"/>
          </w:tcPr>
          <w:p w14:paraId="7586126E">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加项包二</w:t>
            </w:r>
          </w:p>
        </w:tc>
      </w:tr>
      <w:tr w14:paraId="1119B611">
        <w:tblPrEx>
          <w:tblCellMar>
            <w:top w:w="0" w:type="dxa"/>
            <w:left w:w="108" w:type="dxa"/>
            <w:bottom w:w="0" w:type="dxa"/>
            <w:right w:w="108" w:type="dxa"/>
          </w:tblCellMar>
        </w:tblPrEx>
        <w:trPr>
          <w:trHeight w:val="569"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24F895D6">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项目分类</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040866E4">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项目意义</w:t>
            </w:r>
          </w:p>
        </w:tc>
        <w:tc>
          <w:tcPr>
            <w:tcW w:w="348" w:type="pct"/>
            <w:gridSpan w:val="2"/>
            <w:tcBorders>
              <w:top w:val="single" w:color="000000" w:sz="4" w:space="0"/>
              <w:left w:val="single" w:color="000000" w:sz="4" w:space="0"/>
              <w:bottom w:val="single" w:color="000000" w:sz="4" w:space="0"/>
              <w:right w:val="single" w:color="000000" w:sz="4" w:space="0"/>
            </w:tcBorders>
            <w:noWrap w:val="0"/>
            <w:vAlign w:val="center"/>
          </w:tcPr>
          <w:p w14:paraId="4D8B1572">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男</w:t>
            </w:r>
          </w:p>
        </w:tc>
        <w:tc>
          <w:tcPr>
            <w:tcW w:w="386" w:type="pct"/>
            <w:gridSpan w:val="2"/>
            <w:tcBorders>
              <w:top w:val="single" w:color="000000" w:sz="4" w:space="0"/>
              <w:left w:val="single" w:color="000000" w:sz="4" w:space="0"/>
              <w:bottom w:val="single" w:color="000000" w:sz="4" w:space="0"/>
              <w:right w:val="single" w:color="000000" w:sz="4" w:space="0"/>
            </w:tcBorders>
            <w:noWrap w:val="0"/>
            <w:vAlign w:val="center"/>
          </w:tcPr>
          <w:p w14:paraId="42E5A327">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女</w:t>
            </w:r>
          </w:p>
        </w:tc>
      </w:tr>
      <w:tr w14:paraId="077229CD">
        <w:tblPrEx>
          <w:tblCellMar>
            <w:top w:w="0" w:type="dxa"/>
            <w:left w:w="108" w:type="dxa"/>
            <w:bottom w:w="0" w:type="dxa"/>
            <w:right w:w="108" w:type="dxa"/>
          </w:tblCellMar>
        </w:tblPrEx>
        <w:trPr>
          <w:trHeight w:val="977"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51B63E6E">
            <w:pPr>
              <w:pStyle w:val="4"/>
              <w:keepNext w:val="0"/>
              <w:keepLines w:val="0"/>
              <w:pageBreakBefore w:val="0"/>
              <w:kinsoku/>
              <w:wordWrap/>
              <w:overflowPunct/>
              <w:topLinePunct w:val="0"/>
              <w:bidi w:val="0"/>
              <w:spacing w:line="312" w:lineRule="auto"/>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肝纤维化测定（脂肪肝）</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40B04F19">
            <w:pPr>
              <w:pStyle w:val="4"/>
              <w:keepNext w:val="0"/>
              <w:keepLines w:val="0"/>
              <w:pageBreakBefore w:val="0"/>
              <w:kinsoku/>
              <w:wordWrap/>
              <w:overflowPunct/>
              <w:topLinePunct w:val="0"/>
              <w:bidi w:val="0"/>
              <w:spacing w:line="312" w:lineRule="auto"/>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为无创、无痛、安全、可靠的肝纤维化前期改变的检查方法。</w:t>
            </w:r>
          </w:p>
        </w:tc>
        <w:tc>
          <w:tcPr>
            <w:tcW w:w="348" w:type="pct"/>
            <w:gridSpan w:val="2"/>
            <w:tcBorders>
              <w:top w:val="single" w:color="000000" w:sz="4" w:space="0"/>
              <w:left w:val="single" w:color="000000" w:sz="4" w:space="0"/>
              <w:bottom w:val="single" w:color="000000" w:sz="4" w:space="0"/>
              <w:right w:val="single" w:color="000000" w:sz="4" w:space="0"/>
            </w:tcBorders>
            <w:noWrap w:val="0"/>
            <w:vAlign w:val="center"/>
          </w:tcPr>
          <w:p w14:paraId="338559F2">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0"/>
            <w:vAlign w:val="center"/>
          </w:tcPr>
          <w:p w14:paraId="09C2436A">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4279F191">
        <w:tblPrEx>
          <w:tblCellMar>
            <w:top w:w="0" w:type="dxa"/>
            <w:left w:w="108" w:type="dxa"/>
            <w:bottom w:w="0" w:type="dxa"/>
            <w:right w:w="108" w:type="dxa"/>
          </w:tblCellMar>
        </w:tblPrEx>
        <w:trPr>
          <w:trHeight w:val="1361"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4A13DAC4">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超敏C</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2993AB8D">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是一种全身性炎症反应急性期的菲特异性标志物和心血管疾症的独立危险因子，持续增高提示机体存在慢性炎症或自身免疫疾病；</w:t>
            </w:r>
          </w:p>
        </w:tc>
        <w:tc>
          <w:tcPr>
            <w:tcW w:w="348" w:type="pct"/>
            <w:gridSpan w:val="2"/>
            <w:tcBorders>
              <w:top w:val="single" w:color="000000" w:sz="4" w:space="0"/>
              <w:left w:val="single" w:color="000000" w:sz="4" w:space="0"/>
              <w:bottom w:val="single" w:color="000000" w:sz="4" w:space="0"/>
              <w:right w:val="single" w:color="000000" w:sz="4" w:space="0"/>
            </w:tcBorders>
            <w:noWrap w:val="0"/>
            <w:vAlign w:val="center"/>
          </w:tcPr>
          <w:p w14:paraId="63A8F536">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0"/>
            <w:vAlign w:val="center"/>
          </w:tcPr>
          <w:p w14:paraId="346D4913">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14EF701A">
        <w:tblPrEx>
          <w:tblCellMar>
            <w:top w:w="0" w:type="dxa"/>
            <w:left w:w="108" w:type="dxa"/>
            <w:bottom w:w="0" w:type="dxa"/>
            <w:right w:w="108" w:type="dxa"/>
          </w:tblCellMar>
        </w:tblPrEx>
        <w:trPr>
          <w:trHeight w:val="659"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02E94015">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抗O</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60440A4F">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用于风湿及类风湿病的诊断。</w:t>
            </w:r>
          </w:p>
        </w:tc>
        <w:tc>
          <w:tcPr>
            <w:tcW w:w="348" w:type="pct"/>
            <w:gridSpan w:val="2"/>
            <w:tcBorders>
              <w:top w:val="single" w:color="000000" w:sz="4" w:space="0"/>
              <w:left w:val="single" w:color="000000" w:sz="4" w:space="0"/>
              <w:bottom w:val="single" w:color="000000" w:sz="4" w:space="0"/>
              <w:right w:val="single" w:color="000000" w:sz="4" w:space="0"/>
            </w:tcBorders>
            <w:noWrap w:val="0"/>
            <w:vAlign w:val="center"/>
          </w:tcPr>
          <w:p w14:paraId="3088362F">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0"/>
            <w:vAlign w:val="center"/>
          </w:tcPr>
          <w:p w14:paraId="671844AD">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5CD93B59">
        <w:tblPrEx>
          <w:tblCellMar>
            <w:top w:w="0" w:type="dxa"/>
            <w:left w:w="108" w:type="dxa"/>
            <w:bottom w:w="0" w:type="dxa"/>
            <w:right w:w="108" w:type="dxa"/>
          </w:tblCellMar>
        </w:tblPrEx>
        <w:trPr>
          <w:trHeight w:val="851"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03876B49">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补体2项C3.C4</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6D50128A">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评估免疫状态、同时也是肝脏、肾脏功能受损的指标。</w:t>
            </w:r>
          </w:p>
        </w:tc>
        <w:tc>
          <w:tcPr>
            <w:tcW w:w="348" w:type="pct"/>
            <w:gridSpan w:val="2"/>
            <w:tcBorders>
              <w:top w:val="single" w:color="000000" w:sz="4" w:space="0"/>
              <w:left w:val="single" w:color="000000" w:sz="4" w:space="0"/>
              <w:bottom w:val="single" w:color="000000" w:sz="4" w:space="0"/>
              <w:right w:val="single" w:color="000000" w:sz="4" w:space="0"/>
            </w:tcBorders>
            <w:noWrap w:val="0"/>
            <w:vAlign w:val="center"/>
          </w:tcPr>
          <w:p w14:paraId="3819B853">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0"/>
            <w:vAlign w:val="center"/>
          </w:tcPr>
          <w:p w14:paraId="786D7770">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1CE6DCFB">
        <w:tblPrEx>
          <w:tblCellMar>
            <w:top w:w="0" w:type="dxa"/>
            <w:left w:w="108" w:type="dxa"/>
            <w:bottom w:w="0" w:type="dxa"/>
            <w:right w:w="108" w:type="dxa"/>
          </w:tblCellMar>
        </w:tblPrEx>
        <w:trPr>
          <w:trHeight w:val="1011"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4691937F">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淀粉酶</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2164F234">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检测血清淀粉酶，升高常与胰腺组织的炎症损伤和胰腺分泌液排泄受阻有关。</w:t>
            </w:r>
          </w:p>
        </w:tc>
        <w:tc>
          <w:tcPr>
            <w:tcW w:w="348" w:type="pct"/>
            <w:gridSpan w:val="2"/>
            <w:tcBorders>
              <w:top w:val="single" w:color="000000" w:sz="4" w:space="0"/>
              <w:left w:val="single" w:color="000000" w:sz="4" w:space="0"/>
              <w:bottom w:val="single" w:color="000000" w:sz="4" w:space="0"/>
              <w:right w:val="single" w:color="000000" w:sz="4" w:space="0"/>
            </w:tcBorders>
            <w:noWrap w:val="0"/>
            <w:vAlign w:val="center"/>
          </w:tcPr>
          <w:p w14:paraId="65E035C5">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0"/>
            <w:vAlign w:val="center"/>
          </w:tcPr>
          <w:p w14:paraId="358FC5CE">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3F48D0C7">
        <w:tblPrEx>
          <w:tblCellMar>
            <w:top w:w="0" w:type="dxa"/>
            <w:left w:w="108" w:type="dxa"/>
            <w:bottom w:w="0" w:type="dxa"/>
            <w:right w:w="108" w:type="dxa"/>
          </w:tblCellMar>
        </w:tblPrEx>
        <w:trPr>
          <w:trHeight w:val="1137"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28EA85C0">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类风湿因子</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10F57264">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检测RF对风湿性关节炎得诊断、分型。</w:t>
            </w:r>
          </w:p>
        </w:tc>
        <w:tc>
          <w:tcPr>
            <w:tcW w:w="348" w:type="pct"/>
            <w:gridSpan w:val="2"/>
            <w:tcBorders>
              <w:top w:val="single" w:color="000000" w:sz="4" w:space="0"/>
              <w:left w:val="single" w:color="000000" w:sz="4" w:space="0"/>
              <w:bottom w:val="single" w:color="000000" w:sz="4" w:space="0"/>
              <w:right w:val="single" w:color="000000" w:sz="4" w:space="0"/>
            </w:tcBorders>
            <w:noWrap w:val="0"/>
            <w:vAlign w:val="center"/>
          </w:tcPr>
          <w:p w14:paraId="71D9EB38">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0"/>
            <w:vAlign w:val="center"/>
          </w:tcPr>
          <w:p w14:paraId="14D6A043">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6F780C4B">
        <w:tblPrEx>
          <w:tblCellMar>
            <w:top w:w="0" w:type="dxa"/>
            <w:left w:w="108" w:type="dxa"/>
            <w:bottom w:w="0" w:type="dxa"/>
            <w:right w:w="108" w:type="dxa"/>
          </w:tblCellMar>
        </w:tblPrEx>
        <w:trPr>
          <w:trHeight w:val="569" w:hRule="atLeast"/>
        </w:trPr>
        <w:tc>
          <w:tcPr>
            <w:tcW w:w="5000" w:type="pct"/>
            <w:gridSpan w:val="7"/>
            <w:tcBorders>
              <w:top w:val="single" w:color="000000" w:sz="4" w:space="0"/>
              <w:left w:val="single" w:color="000000" w:sz="4" w:space="0"/>
              <w:bottom w:val="single" w:color="000000" w:sz="4" w:space="0"/>
              <w:right w:val="single" w:color="000000" w:sz="4" w:space="0"/>
            </w:tcBorders>
            <w:noWrap w:val="0"/>
            <w:vAlign w:val="center"/>
          </w:tcPr>
          <w:p w14:paraId="509A7566">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加项包三</w:t>
            </w:r>
          </w:p>
        </w:tc>
      </w:tr>
      <w:tr w14:paraId="39AC2920">
        <w:tblPrEx>
          <w:tblCellMar>
            <w:top w:w="0" w:type="dxa"/>
            <w:left w:w="108" w:type="dxa"/>
            <w:bottom w:w="0" w:type="dxa"/>
            <w:right w:w="108" w:type="dxa"/>
          </w:tblCellMar>
        </w:tblPrEx>
        <w:trPr>
          <w:trHeight w:val="569"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1DEA6489">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项目分类</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3FEC8220">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项目意义</w:t>
            </w:r>
          </w:p>
        </w:tc>
        <w:tc>
          <w:tcPr>
            <w:tcW w:w="348" w:type="pct"/>
            <w:gridSpan w:val="2"/>
            <w:tcBorders>
              <w:top w:val="single" w:color="000000" w:sz="4" w:space="0"/>
              <w:left w:val="single" w:color="000000" w:sz="4" w:space="0"/>
              <w:bottom w:val="single" w:color="000000" w:sz="4" w:space="0"/>
              <w:right w:val="single" w:color="000000" w:sz="4" w:space="0"/>
            </w:tcBorders>
            <w:noWrap/>
            <w:vAlign w:val="center"/>
          </w:tcPr>
          <w:p w14:paraId="19F04D52">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男</w:t>
            </w:r>
          </w:p>
        </w:tc>
        <w:tc>
          <w:tcPr>
            <w:tcW w:w="386" w:type="pct"/>
            <w:gridSpan w:val="2"/>
            <w:tcBorders>
              <w:top w:val="single" w:color="000000" w:sz="4" w:space="0"/>
              <w:left w:val="single" w:color="000000" w:sz="4" w:space="0"/>
              <w:bottom w:val="single" w:color="000000" w:sz="4" w:space="0"/>
              <w:right w:val="single" w:color="000000" w:sz="4" w:space="0"/>
            </w:tcBorders>
            <w:noWrap/>
            <w:vAlign w:val="center"/>
          </w:tcPr>
          <w:p w14:paraId="22741372">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女</w:t>
            </w:r>
          </w:p>
        </w:tc>
      </w:tr>
      <w:tr w14:paraId="461DBD71">
        <w:tblPrEx>
          <w:tblCellMar>
            <w:top w:w="0" w:type="dxa"/>
            <w:left w:w="108" w:type="dxa"/>
            <w:bottom w:w="0" w:type="dxa"/>
            <w:right w:w="108" w:type="dxa"/>
          </w:tblCellMar>
        </w:tblPrEx>
        <w:trPr>
          <w:trHeight w:val="569"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785D19B0">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胃功能</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562A3DEE">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胃蛋白酶原I、胃蛋白酶原II、PG I/PG II比值）</w:t>
            </w:r>
            <w:r>
              <w:rPr>
                <w:rFonts w:hint="eastAsia" w:ascii="宋体" w:hAnsi="宋体" w:eastAsia="宋体" w:cs="宋体"/>
                <w:color w:val="auto"/>
                <w:sz w:val="24"/>
                <w:szCs w:val="24"/>
                <w:highlight w:val="none"/>
                <w:lang w:eastAsia="zh-CN"/>
              </w:rPr>
              <w:t>。</w:t>
            </w:r>
          </w:p>
        </w:tc>
        <w:tc>
          <w:tcPr>
            <w:tcW w:w="348" w:type="pct"/>
            <w:gridSpan w:val="2"/>
            <w:tcBorders>
              <w:top w:val="single" w:color="000000" w:sz="4" w:space="0"/>
              <w:left w:val="single" w:color="000000" w:sz="4" w:space="0"/>
              <w:bottom w:val="single" w:color="000000" w:sz="4" w:space="0"/>
              <w:right w:val="single" w:color="000000" w:sz="4" w:space="0"/>
            </w:tcBorders>
            <w:noWrap/>
            <w:vAlign w:val="center"/>
          </w:tcPr>
          <w:p w14:paraId="44E8627F">
            <w:pPr>
              <w:keepNext w:val="0"/>
              <w:keepLines w:val="0"/>
              <w:pageBreakBefore w:val="0"/>
              <w:kinsoku/>
              <w:wordWrap/>
              <w:overflowPunct/>
              <w:topLinePunct w:val="0"/>
              <w:bidi w:val="0"/>
              <w:spacing w:line="312" w:lineRule="auto"/>
              <w:jc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ign w:val="center"/>
          </w:tcPr>
          <w:p w14:paraId="1A3A77E2">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5B06B43B">
        <w:tblPrEx>
          <w:tblCellMar>
            <w:top w:w="0" w:type="dxa"/>
            <w:left w:w="108" w:type="dxa"/>
            <w:bottom w:w="0" w:type="dxa"/>
            <w:right w:w="108" w:type="dxa"/>
          </w:tblCellMar>
        </w:tblPrEx>
        <w:trPr>
          <w:trHeight w:val="1129"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7F8D803D">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25-羟基维生素D测定</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32FFADC4">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检测活性维生素D3评估钙代谢状态，有助于评估缺钙的原因并针对性治疗。</w:t>
            </w:r>
          </w:p>
        </w:tc>
        <w:tc>
          <w:tcPr>
            <w:tcW w:w="348" w:type="pct"/>
            <w:gridSpan w:val="2"/>
            <w:tcBorders>
              <w:top w:val="single" w:color="000000" w:sz="4" w:space="0"/>
              <w:left w:val="single" w:color="000000" w:sz="4" w:space="0"/>
              <w:bottom w:val="single" w:color="000000" w:sz="4" w:space="0"/>
              <w:right w:val="single" w:color="000000" w:sz="4" w:space="0"/>
            </w:tcBorders>
            <w:noWrap/>
            <w:vAlign w:val="center"/>
          </w:tcPr>
          <w:p w14:paraId="0CBB676C">
            <w:pPr>
              <w:keepNext w:val="0"/>
              <w:keepLines w:val="0"/>
              <w:pageBreakBefore w:val="0"/>
              <w:kinsoku/>
              <w:wordWrap/>
              <w:overflowPunct/>
              <w:topLinePunct w:val="0"/>
              <w:bidi w:val="0"/>
              <w:spacing w:line="312" w:lineRule="auto"/>
              <w:jc w:val="center"/>
              <w:rPr>
                <w:rFonts w:hint="eastAsia" w:ascii="宋体" w:hAnsi="宋体" w:eastAsia="宋体" w:cs="宋体"/>
                <w:bCs/>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ign w:val="center"/>
          </w:tcPr>
          <w:p w14:paraId="00A5F927">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423E5209">
        <w:tblPrEx>
          <w:tblCellMar>
            <w:top w:w="0" w:type="dxa"/>
            <w:left w:w="108" w:type="dxa"/>
            <w:bottom w:w="0" w:type="dxa"/>
            <w:right w:w="108" w:type="dxa"/>
          </w:tblCellMar>
        </w:tblPrEx>
        <w:trPr>
          <w:trHeight w:val="668"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7100C639">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微量元素6项</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4B5EEF31">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全血中的镁、锌、铜、铁、铅、钙</w:t>
            </w:r>
            <w:r>
              <w:rPr>
                <w:rFonts w:hint="eastAsia" w:ascii="宋体" w:hAnsi="宋体" w:eastAsia="宋体" w:cs="宋体"/>
                <w:color w:val="auto"/>
                <w:sz w:val="24"/>
                <w:szCs w:val="24"/>
                <w:highlight w:val="none"/>
                <w:lang w:eastAsia="zh-CN"/>
              </w:rPr>
              <w:t>。</w:t>
            </w:r>
          </w:p>
        </w:tc>
        <w:tc>
          <w:tcPr>
            <w:tcW w:w="348" w:type="pct"/>
            <w:gridSpan w:val="2"/>
            <w:tcBorders>
              <w:top w:val="single" w:color="000000" w:sz="4" w:space="0"/>
              <w:left w:val="single" w:color="000000" w:sz="4" w:space="0"/>
              <w:bottom w:val="single" w:color="000000" w:sz="4" w:space="0"/>
              <w:right w:val="single" w:color="000000" w:sz="4" w:space="0"/>
            </w:tcBorders>
            <w:noWrap/>
            <w:vAlign w:val="center"/>
          </w:tcPr>
          <w:p w14:paraId="2C785812">
            <w:pPr>
              <w:keepNext w:val="0"/>
              <w:keepLines w:val="0"/>
              <w:pageBreakBefore w:val="0"/>
              <w:kinsoku/>
              <w:wordWrap/>
              <w:overflowPunct/>
              <w:topLinePunct w:val="0"/>
              <w:bidi w:val="0"/>
              <w:spacing w:line="312" w:lineRule="auto"/>
              <w:jc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ign w:val="center"/>
          </w:tcPr>
          <w:p w14:paraId="6B6B9B27">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5FA0A7C8">
        <w:tblPrEx>
          <w:tblCellMar>
            <w:top w:w="0" w:type="dxa"/>
            <w:left w:w="108" w:type="dxa"/>
            <w:bottom w:w="0" w:type="dxa"/>
            <w:right w:w="108" w:type="dxa"/>
          </w:tblCellMar>
        </w:tblPrEx>
        <w:trPr>
          <w:trHeight w:val="569" w:hRule="atLeast"/>
        </w:trPr>
        <w:tc>
          <w:tcPr>
            <w:tcW w:w="5000" w:type="pct"/>
            <w:gridSpan w:val="7"/>
            <w:tcBorders>
              <w:top w:val="single" w:color="000000" w:sz="4" w:space="0"/>
              <w:left w:val="single" w:color="000000" w:sz="4" w:space="0"/>
              <w:bottom w:val="single" w:color="000000" w:sz="4" w:space="0"/>
              <w:right w:val="single" w:color="000000" w:sz="4" w:space="0"/>
            </w:tcBorders>
            <w:noWrap w:val="0"/>
            <w:vAlign w:val="center"/>
          </w:tcPr>
          <w:p w14:paraId="01C98763">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加项包</w:t>
            </w:r>
            <w:r>
              <w:rPr>
                <w:rFonts w:hint="eastAsia" w:ascii="宋体" w:hAnsi="宋体" w:eastAsia="宋体" w:cs="宋体"/>
                <w:b/>
                <w:bCs/>
                <w:color w:val="auto"/>
                <w:sz w:val="24"/>
                <w:szCs w:val="24"/>
                <w:highlight w:val="none"/>
                <w:lang w:val="en-US" w:eastAsia="zh-CN"/>
              </w:rPr>
              <w:t>四</w:t>
            </w:r>
          </w:p>
        </w:tc>
      </w:tr>
      <w:tr w14:paraId="4828A50B">
        <w:tblPrEx>
          <w:tblCellMar>
            <w:top w:w="0" w:type="dxa"/>
            <w:left w:w="108" w:type="dxa"/>
            <w:bottom w:w="0" w:type="dxa"/>
            <w:right w:w="108" w:type="dxa"/>
          </w:tblCellMar>
        </w:tblPrEx>
        <w:trPr>
          <w:trHeight w:val="569"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6EEB40E7">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项目分类</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377CB457">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项目意义</w:t>
            </w:r>
          </w:p>
        </w:tc>
        <w:tc>
          <w:tcPr>
            <w:tcW w:w="348" w:type="pct"/>
            <w:gridSpan w:val="2"/>
            <w:tcBorders>
              <w:top w:val="single" w:color="000000" w:sz="4" w:space="0"/>
              <w:left w:val="single" w:color="000000" w:sz="4" w:space="0"/>
              <w:bottom w:val="single" w:color="000000" w:sz="4" w:space="0"/>
              <w:right w:val="single" w:color="000000" w:sz="4" w:space="0"/>
            </w:tcBorders>
            <w:noWrap/>
            <w:vAlign w:val="center"/>
          </w:tcPr>
          <w:p w14:paraId="349559D9">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男</w:t>
            </w:r>
          </w:p>
        </w:tc>
        <w:tc>
          <w:tcPr>
            <w:tcW w:w="386" w:type="pct"/>
            <w:gridSpan w:val="2"/>
            <w:tcBorders>
              <w:top w:val="single" w:color="000000" w:sz="4" w:space="0"/>
              <w:left w:val="single" w:color="000000" w:sz="4" w:space="0"/>
              <w:bottom w:val="single" w:color="000000" w:sz="4" w:space="0"/>
              <w:right w:val="single" w:color="000000" w:sz="4" w:space="0"/>
            </w:tcBorders>
            <w:noWrap/>
            <w:vAlign w:val="center"/>
          </w:tcPr>
          <w:p w14:paraId="30B92AC5">
            <w:pPr>
              <w:pStyle w:val="4"/>
              <w:keepNext w:val="0"/>
              <w:keepLines w:val="0"/>
              <w:pageBreakBefore w:val="0"/>
              <w:kinsoku/>
              <w:wordWrap/>
              <w:overflowPunct/>
              <w:topLinePunct w:val="0"/>
              <w:bidi w:val="0"/>
              <w:spacing w:line="312" w:lineRule="auto"/>
              <w:jc w:val="center"/>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女</w:t>
            </w:r>
          </w:p>
        </w:tc>
      </w:tr>
      <w:tr w14:paraId="431E9649">
        <w:tblPrEx>
          <w:tblCellMar>
            <w:top w:w="0" w:type="dxa"/>
            <w:left w:w="108" w:type="dxa"/>
            <w:bottom w:w="0" w:type="dxa"/>
            <w:right w:w="108" w:type="dxa"/>
          </w:tblCellMar>
        </w:tblPrEx>
        <w:trPr>
          <w:trHeight w:val="626"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746A5D64">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心脏彩超</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39E856CF">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了解心脏、大血管、瓣膜的结构及血流有无异常。</w:t>
            </w:r>
          </w:p>
        </w:tc>
        <w:tc>
          <w:tcPr>
            <w:tcW w:w="348" w:type="pct"/>
            <w:gridSpan w:val="2"/>
            <w:tcBorders>
              <w:top w:val="single" w:color="000000" w:sz="4" w:space="0"/>
              <w:left w:val="single" w:color="000000" w:sz="4" w:space="0"/>
              <w:bottom w:val="single" w:color="000000" w:sz="4" w:space="0"/>
              <w:right w:val="single" w:color="000000" w:sz="4" w:space="0"/>
            </w:tcBorders>
            <w:noWrap/>
            <w:vAlign w:val="center"/>
          </w:tcPr>
          <w:p w14:paraId="3113740F">
            <w:pPr>
              <w:keepNext w:val="0"/>
              <w:keepLines w:val="0"/>
              <w:pageBreakBefore w:val="0"/>
              <w:kinsoku/>
              <w:wordWrap/>
              <w:overflowPunct/>
              <w:topLinePunct w:val="0"/>
              <w:bidi w:val="0"/>
              <w:spacing w:line="312" w:lineRule="auto"/>
              <w:jc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ign w:val="center"/>
          </w:tcPr>
          <w:p w14:paraId="27767EAF">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19A9A8DA">
        <w:tblPrEx>
          <w:tblCellMar>
            <w:top w:w="0" w:type="dxa"/>
            <w:left w:w="108" w:type="dxa"/>
            <w:bottom w:w="0" w:type="dxa"/>
            <w:right w:w="108" w:type="dxa"/>
          </w:tblCellMar>
        </w:tblPrEx>
        <w:trPr>
          <w:trHeight w:val="1129"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4F4430A2">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HCY同型半光氨酸</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2386FE13">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是造成动脉粥样硬化和心脑血管疾病的独立危险因素。</w:t>
            </w:r>
          </w:p>
        </w:tc>
        <w:tc>
          <w:tcPr>
            <w:tcW w:w="348" w:type="pct"/>
            <w:gridSpan w:val="2"/>
            <w:tcBorders>
              <w:top w:val="single" w:color="000000" w:sz="4" w:space="0"/>
              <w:left w:val="single" w:color="000000" w:sz="4" w:space="0"/>
              <w:bottom w:val="single" w:color="000000" w:sz="4" w:space="0"/>
              <w:right w:val="single" w:color="000000" w:sz="4" w:space="0"/>
            </w:tcBorders>
            <w:noWrap/>
            <w:vAlign w:val="center"/>
          </w:tcPr>
          <w:p w14:paraId="0116F8E3">
            <w:pPr>
              <w:keepNext w:val="0"/>
              <w:keepLines w:val="0"/>
              <w:pageBreakBefore w:val="0"/>
              <w:kinsoku/>
              <w:wordWrap/>
              <w:overflowPunct/>
              <w:topLinePunct w:val="0"/>
              <w:bidi w:val="0"/>
              <w:spacing w:line="312" w:lineRule="auto"/>
              <w:jc w:val="center"/>
              <w:rPr>
                <w:rFonts w:hint="eastAsia" w:ascii="宋体" w:hAnsi="宋体" w:eastAsia="宋体" w:cs="宋体"/>
                <w:bCs/>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ign w:val="center"/>
          </w:tcPr>
          <w:p w14:paraId="0E735F71">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r w14:paraId="1195FB33">
        <w:tblPrEx>
          <w:tblCellMar>
            <w:top w:w="0" w:type="dxa"/>
            <w:left w:w="108" w:type="dxa"/>
            <w:bottom w:w="0" w:type="dxa"/>
            <w:right w:w="108" w:type="dxa"/>
          </w:tblCellMar>
        </w:tblPrEx>
        <w:trPr>
          <w:trHeight w:val="1197" w:hRule="atLeast"/>
        </w:trPr>
        <w:tc>
          <w:tcPr>
            <w:tcW w:w="996" w:type="pct"/>
            <w:tcBorders>
              <w:top w:val="single" w:color="000000" w:sz="4" w:space="0"/>
              <w:left w:val="single" w:color="000000" w:sz="4" w:space="0"/>
              <w:bottom w:val="single" w:color="000000" w:sz="4" w:space="0"/>
              <w:right w:val="single" w:color="000000" w:sz="4" w:space="0"/>
            </w:tcBorders>
            <w:noWrap w:val="0"/>
            <w:vAlign w:val="center"/>
          </w:tcPr>
          <w:p w14:paraId="4DB8DB60">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心肌酶4项</w:t>
            </w:r>
          </w:p>
        </w:tc>
        <w:tc>
          <w:tcPr>
            <w:tcW w:w="3269" w:type="pct"/>
            <w:gridSpan w:val="2"/>
            <w:tcBorders>
              <w:top w:val="single" w:color="000000" w:sz="4" w:space="0"/>
              <w:left w:val="single" w:color="000000" w:sz="4" w:space="0"/>
              <w:bottom w:val="single" w:color="000000" w:sz="4" w:space="0"/>
              <w:right w:val="single" w:color="000000" w:sz="4" w:space="0"/>
            </w:tcBorders>
            <w:noWrap w:val="0"/>
            <w:vAlign w:val="center"/>
          </w:tcPr>
          <w:p w14:paraId="5D855EE1">
            <w:pPr>
              <w:keepNext w:val="0"/>
              <w:keepLines w:val="0"/>
              <w:pageBreakBefore w:val="0"/>
              <w:widowControl/>
              <w:kinsoku/>
              <w:wordWrap/>
              <w:overflowPunct/>
              <w:topLinePunct w:val="0"/>
              <w:bidi w:val="0"/>
              <w:spacing w:line="312" w:lineRule="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检测心肌损伤的常用指标，对诊断和评估心肌梗死、心肌炎及溶栓后效果评价有重要意义。</w:t>
            </w:r>
          </w:p>
        </w:tc>
        <w:tc>
          <w:tcPr>
            <w:tcW w:w="348" w:type="pct"/>
            <w:gridSpan w:val="2"/>
            <w:tcBorders>
              <w:top w:val="single" w:color="000000" w:sz="4" w:space="0"/>
              <w:left w:val="single" w:color="000000" w:sz="4" w:space="0"/>
              <w:bottom w:val="single" w:color="000000" w:sz="4" w:space="0"/>
              <w:right w:val="single" w:color="000000" w:sz="4" w:space="0"/>
            </w:tcBorders>
            <w:noWrap/>
            <w:vAlign w:val="center"/>
          </w:tcPr>
          <w:p w14:paraId="1BE1D1D4">
            <w:pPr>
              <w:keepNext w:val="0"/>
              <w:keepLines w:val="0"/>
              <w:pageBreakBefore w:val="0"/>
              <w:kinsoku/>
              <w:wordWrap/>
              <w:overflowPunct/>
              <w:topLinePunct w:val="0"/>
              <w:bidi w:val="0"/>
              <w:spacing w:line="312" w:lineRule="auto"/>
              <w:jc w:val="center"/>
              <w:rPr>
                <w:rFonts w:hint="eastAsia" w:ascii="宋体" w:hAnsi="宋体" w:eastAsia="宋体" w:cs="宋体"/>
                <w:color w:val="auto"/>
                <w:sz w:val="24"/>
                <w:szCs w:val="24"/>
                <w:highlight w:val="none"/>
              </w:rPr>
            </w:pPr>
          </w:p>
        </w:tc>
        <w:tc>
          <w:tcPr>
            <w:tcW w:w="386" w:type="pct"/>
            <w:gridSpan w:val="2"/>
            <w:tcBorders>
              <w:top w:val="single" w:color="000000" w:sz="4" w:space="0"/>
              <w:left w:val="single" w:color="000000" w:sz="4" w:space="0"/>
              <w:bottom w:val="single" w:color="000000" w:sz="4" w:space="0"/>
              <w:right w:val="single" w:color="000000" w:sz="4" w:space="0"/>
            </w:tcBorders>
            <w:noWrap/>
            <w:vAlign w:val="center"/>
          </w:tcPr>
          <w:p w14:paraId="530B3A0C">
            <w:pPr>
              <w:keepNext w:val="0"/>
              <w:keepLines w:val="0"/>
              <w:pageBreakBefore w:val="0"/>
              <w:widowControl/>
              <w:kinsoku/>
              <w:wordWrap/>
              <w:overflowPunct/>
              <w:topLinePunct w:val="0"/>
              <w:bidi w:val="0"/>
              <w:spacing w:line="312" w:lineRule="auto"/>
              <w:jc w:val="center"/>
              <w:textAlignment w:val="center"/>
              <w:rPr>
                <w:rFonts w:hint="eastAsia" w:ascii="宋体" w:hAnsi="宋体" w:eastAsia="宋体" w:cs="宋体"/>
                <w:color w:val="auto"/>
                <w:sz w:val="24"/>
                <w:szCs w:val="24"/>
                <w:highlight w:val="none"/>
              </w:rPr>
            </w:pPr>
          </w:p>
        </w:tc>
      </w:tr>
    </w:tbl>
    <w:p w14:paraId="39BC3024">
      <w:pPr>
        <w:pStyle w:val="8"/>
        <w:keepNext w:val="0"/>
        <w:keepLines w:val="0"/>
        <w:pageBreakBefore w:val="0"/>
        <w:widowControl/>
        <w:kinsoku w:val="0"/>
        <w:wordWrap/>
        <w:overflowPunct/>
        <w:topLinePunct w:val="0"/>
        <w:autoSpaceDE w:val="0"/>
        <w:autoSpaceDN w:val="0"/>
        <w:bidi w:val="0"/>
        <w:adjustRightInd w:val="0"/>
        <w:snapToGrid w:val="0"/>
        <w:spacing w:line="580" w:lineRule="exact"/>
        <w:jc w:val="both"/>
        <w:textAlignment w:val="baseline"/>
        <w:rPr>
          <w:rFonts w:hint="eastAsia" w:ascii="方正小标宋_GBK" w:hAnsi="方正小标宋_GBK" w:eastAsia="方正小标宋_GBK" w:cs="方正小标宋_GBK"/>
          <w:sz w:val="44"/>
          <w:szCs w:val="44"/>
          <w:lang w:val="en-US" w:eastAsia="zh-CN"/>
        </w:rPr>
      </w:pPr>
    </w:p>
    <w:p w14:paraId="396BE092">
      <w:pPr>
        <w:jc w:val="left"/>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2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E4F29"/>
    <w:rsid w:val="00D83819"/>
    <w:rsid w:val="0AF5286B"/>
    <w:rsid w:val="0D0429D6"/>
    <w:rsid w:val="0D754799"/>
    <w:rsid w:val="1481490C"/>
    <w:rsid w:val="161B669A"/>
    <w:rsid w:val="16F5338F"/>
    <w:rsid w:val="17B172B6"/>
    <w:rsid w:val="1AFC4CEC"/>
    <w:rsid w:val="232A79BA"/>
    <w:rsid w:val="24981556"/>
    <w:rsid w:val="2AA607D0"/>
    <w:rsid w:val="358805DC"/>
    <w:rsid w:val="3CB306F5"/>
    <w:rsid w:val="44B154D0"/>
    <w:rsid w:val="4DE76FB7"/>
    <w:rsid w:val="4E0F4CEA"/>
    <w:rsid w:val="56A60D22"/>
    <w:rsid w:val="5DC944EF"/>
    <w:rsid w:val="69F97C42"/>
    <w:rsid w:val="6A3457B5"/>
    <w:rsid w:val="6E0F5CA8"/>
    <w:rsid w:val="6F3A0AB4"/>
    <w:rsid w:val="74342FAB"/>
    <w:rsid w:val="745E6FF3"/>
    <w:rsid w:val="76816FAA"/>
    <w:rsid w:val="76A5715B"/>
    <w:rsid w:val="77146DD6"/>
    <w:rsid w:val="79AB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Theme="majorHAnsi" w:hAnsiTheme="majorHAnsi" w:cstheme="majorBidi"/>
      <w:sz w:val="24"/>
      <w:szCs w:val="24"/>
    </w:rPr>
  </w:style>
  <w:style w:type="paragraph" w:styleId="3">
    <w:name w:val="Body Text"/>
    <w:basedOn w:val="1"/>
    <w:qFormat/>
    <w:uiPriority w:val="0"/>
    <w:pPr>
      <w:spacing w:after="120" w:afterLines="0" w:afterAutospacing="0"/>
    </w:pPr>
  </w:style>
  <w:style w:type="paragraph" w:styleId="4">
    <w:name w:val="Plain Text"/>
    <w:basedOn w:val="1"/>
    <w:qFormat/>
    <w:uiPriority w:val="99"/>
    <w:pPr>
      <w:autoSpaceDE w:val="0"/>
      <w:autoSpaceDN w:val="0"/>
      <w:adjustRightInd w:val="0"/>
    </w:pPr>
    <w:rPr>
      <w:rFonts w:ascii="宋体" w:hAnsi="Tms Rmn" w:cs="宋体"/>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Default"/>
    <w:basedOn w:val="1"/>
    <w:qFormat/>
    <w:uiPriority w:val="0"/>
    <w:pPr>
      <w:widowControl/>
      <w:autoSpaceDE w:val="0"/>
      <w:autoSpaceDN w:val="0"/>
      <w:jc w:val="left"/>
    </w:pPr>
    <w:rPr>
      <w:rFonts w:ascii="黑体" w:hAnsi="黑体" w:eastAsia="黑体" w:cs="宋体"/>
      <w:color w:val="000000"/>
      <w:kern w:val="0"/>
      <w:sz w:val="24"/>
    </w:rPr>
  </w:style>
  <w:style w:type="paragraph" w:customStyle="1" w:styleId="9">
    <w:name w:val="toc 21"/>
    <w:next w:val="1"/>
    <w:qFormat/>
    <w:uiPriority w:val="0"/>
    <w:pPr>
      <w:wordWrap w:val="0"/>
      <w:ind w:left="425"/>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816</Words>
  <Characters>933</Characters>
  <Lines>0</Lines>
  <Paragraphs>0</Paragraphs>
  <TotalTime>30</TotalTime>
  <ScaleCrop>false</ScaleCrop>
  <LinksUpToDate>false</LinksUpToDate>
  <CharactersWithSpaces>951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2026-07-17T03:44:00Z</dcterms:created>
  <dc:creator>Administrator</dc:creator>
  <cp:lastModifiedBy>南雪</cp:lastModifiedBy>
  <dcterms:modified xsi:type="dcterms:W3CDTF">2026-07-31T07:27:13Z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eyJoZGlkIjoiNGZmZjQ0OGIxMmRjMjQ4ZWIwMjhhNTE1MGJiMDQyNDciLCJ1c2VySWQiOiIxMDMzNzQxNTMwIn0=</vt:lpwstr>
  </property>
  <property fmtid="{D5CDD505-2E9C-101B-9397-08002B2CF9AE}" pid="4" name="ICV">
    <vt:lpwstr>C72F4D22BB784D79BD4AAAC82822D642_13</vt:lpwstr>
  </property>
</Properties>
</file>