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045517">
      <w:pPr>
        <w:pStyle w:val="2"/>
        <w:widowControl/>
        <w:spacing w:before="0" w:beforeAutospacing="0" w:after="0" w:afterAutospacing="0" w:line="600" w:lineRule="exact"/>
        <w:ind w:firstLine="420"/>
        <w:jc w:val="both"/>
        <w:rPr>
          <w:rFonts w:ascii="方正仿宋_GBK" w:hAnsi="宋体" w:eastAsia="方正仿宋_GBK" w:cs="宋体"/>
          <w:sz w:val="32"/>
          <w:szCs w:val="32"/>
        </w:rPr>
      </w:pPr>
      <w:r>
        <w:rPr>
          <w:rFonts w:hint="eastAsia" w:ascii="方正仿宋_GBK" w:hAnsi="宋体" w:eastAsia="方正仿宋_GBK" w:cs="宋体"/>
          <w:sz w:val="32"/>
          <w:szCs w:val="32"/>
        </w:rPr>
        <w:t>附件1：</w:t>
      </w:r>
    </w:p>
    <w:p w14:paraId="6C6685A2">
      <w:pPr>
        <w:pStyle w:val="2"/>
        <w:widowControl/>
        <w:spacing w:line="600" w:lineRule="exact"/>
        <w:ind w:firstLine="420"/>
        <w:jc w:val="center"/>
        <w:rPr>
          <w:rFonts w:ascii="方正小标宋_GBK" w:hAnsi="MicrosoftYaHei" w:eastAsia="方正小标宋_GBK" w:cs="MicrosoftYaHei"/>
          <w:bCs/>
          <w:color w:val="000000"/>
          <w:sz w:val="44"/>
          <w:szCs w:val="44"/>
          <w:shd w:val="clear" w:color="auto" w:fill="FFFFFF"/>
          <w:lang w:bidi="ar"/>
        </w:rPr>
      </w:pPr>
      <w:r>
        <w:rPr>
          <w:rFonts w:hint="eastAsia" w:ascii="方正小标宋_GBK" w:hAnsi="MicrosoftYaHei" w:eastAsia="方正小标宋_GBK" w:cs="MicrosoftYaHei"/>
          <w:bCs/>
          <w:color w:val="000000"/>
          <w:sz w:val="44"/>
          <w:szCs w:val="44"/>
          <w:shd w:val="clear" w:color="auto" w:fill="FFFFFF"/>
          <w:lang w:bidi="ar"/>
        </w:rPr>
        <w:t>成都金沙遗址博物馆</w:t>
      </w:r>
    </w:p>
    <w:p w14:paraId="68DD07B2">
      <w:pPr>
        <w:pStyle w:val="2"/>
        <w:widowControl/>
        <w:spacing w:line="600" w:lineRule="exact"/>
        <w:ind w:firstLine="420"/>
        <w:jc w:val="center"/>
        <w:rPr>
          <w:rFonts w:ascii="方正小标宋_GBK" w:hAnsi="MicrosoftYaHei" w:eastAsia="方正小标宋_GBK" w:cs="MicrosoftYaHei"/>
          <w:bCs/>
          <w:color w:val="000000"/>
          <w:sz w:val="44"/>
          <w:szCs w:val="44"/>
          <w:shd w:val="clear" w:color="auto" w:fill="FFFFFF"/>
          <w:lang w:bidi="ar"/>
        </w:rPr>
      </w:pPr>
      <w:r>
        <w:rPr>
          <w:rFonts w:hint="eastAsia" w:ascii="方正小标宋_GBK" w:hAnsi="MicrosoftYaHei" w:eastAsia="方正小标宋_GBK" w:cs="MicrosoftYaHei"/>
          <w:bCs/>
          <w:color w:val="000000"/>
          <w:sz w:val="44"/>
          <w:szCs w:val="44"/>
          <w:shd w:val="clear" w:color="auto" w:fill="FFFFFF"/>
          <w:lang w:bidi="ar"/>
        </w:rPr>
        <w:t>2027年金沙文化在校园/在社区（暂定名）项目</w:t>
      </w:r>
      <w:r>
        <w:rPr>
          <w:rFonts w:ascii="方正小标宋_GBK" w:hAnsi="MicrosoftYaHei" w:eastAsia="方正小标宋_GBK" w:cs="MicrosoftYaHei"/>
          <w:bCs/>
          <w:color w:val="000000"/>
          <w:sz w:val="44"/>
          <w:szCs w:val="44"/>
          <w:shd w:val="clear" w:color="auto" w:fill="FFFFFF"/>
          <w:lang w:bidi="ar"/>
        </w:rPr>
        <w:t>需求</w:t>
      </w:r>
    </w:p>
    <w:p w14:paraId="535B3676">
      <w:pPr>
        <w:pStyle w:val="2"/>
        <w:widowControl/>
        <w:spacing w:line="600" w:lineRule="exact"/>
        <w:ind w:firstLine="420"/>
        <w:jc w:val="both"/>
        <w:rPr>
          <w:rFonts w:ascii="方正仿宋_GBK" w:hAnsi="宋体" w:eastAsia="方正仿宋_GBK" w:cs="宋体"/>
          <w:sz w:val="32"/>
          <w:szCs w:val="32"/>
        </w:rPr>
      </w:pPr>
      <w:r>
        <w:rPr>
          <w:rFonts w:hint="eastAsia" w:ascii="方正仿宋_GBK" w:hAnsi="宋体" w:eastAsia="方正仿宋_GBK" w:cs="宋体"/>
          <w:sz w:val="32"/>
          <w:szCs w:val="32"/>
        </w:rPr>
        <w:t>一</w:t>
      </w:r>
      <w:r>
        <w:rPr>
          <w:rFonts w:ascii="方正仿宋_GBK" w:hAnsi="宋体" w:eastAsia="方正仿宋_GBK" w:cs="宋体"/>
          <w:sz w:val="32"/>
          <w:szCs w:val="32"/>
        </w:rPr>
        <w:t>、</w:t>
      </w:r>
      <w:r>
        <w:rPr>
          <w:rFonts w:hint="eastAsia" w:ascii="方正仿宋_GBK" w:hAnsi="宋体" w:eastAsia="方正仿宋_GBK" w:cs="宋体"/>
          <w:sz w:val="32"/>
          <w:szCs w:val="32"/>
        </w:rPr>
        <w:t>项目名称：成都金沙遗址博物馆2027年金沙文化在校园/在社区（暂定名）</w:t>
      </w:r>
    </w:p>
    <w:p w14:paraId="2D41C7EA">
      <w:pPr>
        <w:pStyle w:val="2"/>
        <w:widowControl/>
        <w:spacing w:line="600" w:lineRule="exact"/>
        <w:ind w:firstLine="420"/>
        <w:jc w:val="both"/>
        <w:rPr>
          <w:rFonts w:ascii="方正仿宋_GBK" w:hAnsi="宋体" w:eastAsia="方正仿宋_GBK" w:cs="宋体"/>
          <w:sz w:val="32"/>
          <w:szCs w:val="32"/>
        </w:rPr>
      </w:pPr>
      <w:r>
        <w:rPr>
          <w:rFonts w:hint="eastAsia" w:ascii="方正仿宋_GBK" w:hAnsi="宋体" w:eastAsia="方正仿宋_GBK" w:cs="宋体"/>
          <w:sz w:val="32"/>
          <w:szCs w:val="32"/>
        </w:rPr>
        <w:t>二</w:t>
      </w:r>
      <w:r>
        <w:rPr>
          <w:rFonts w:ascii="方正仿宋_GBK" w:hAnsi="宋体" w:eastAsia="方正仿宋_GBK" w:cs="宋体"/>
          <w:sz w:val="32"/>
          <w:szCs w:val="32"/>
        </w:rPr>
        <w:t>、</w:t>
      </w:r>
      <w:r>
        <w:rPr>
          <w:rFonts w:hint="eastAsia" w:ascii="方正仿宋_GBK" w:hAnsi="宋体" w:eastAsia="方正仿宋_GBK" w:cs="宋体"/>
          <w:sz w:val="32"/>
          <w:szCs w:val="32"/>
        </w:rPr>
        <w:t>项目周期：202</w:t>
      </w:r>
      <w:r>
        <w:rPr>
          <w:rFonts w:ascii="方正仿宋_GBK" w:hAnsi="宋体" w:eastAsia="方正仿宋_GBK" w:cs="宋体"/>
          <w:sz w:val="32"/>
          <w:szCs w:val="32"/>
        </w:rPr>
        <w:t>7</w:t>
      </w:r>
      <w:r>
        <w:rPr>
          <w:rFonts w:hint="eastAsia" w:ascii="方正仿宋_GBK" w:hAnsi="宋体" w:eastAsia="方正仿宋_GBK" w:cs="宋体"/>
          <w:sz w:val="32"/>
          <w:szCs w:val="32"/>
        </w:rPr>
        <w:t>年1月-</w:t>
      </w:r>
      <w:r>
        <w:rPr>
          <w:rFonts w:ascii="方正仿宋_GBK" w:hAnsi="宋体" w:eastAsia="方正仿宋_GBK" w:cs="宋体"/>
          <w:sz w:val="32"/>
          <w:szCs w:val="32"/>
        </w:rPr>
        <w:t>11</w:t>
      </w:r>
      <w:r>
        <w:rPr>
          <w:rFonts w:hint="eastAsia" w:ascii="方正仿宋_GBK" w:hAnsi="宋体" w:eastAsia="方正仿宋_GBK" w:cs="宋体"/>
          <w:sz w:val="32"/>
          <w:szCs w:val="32"/>
        </w:rPr>
        <w:t>月</w:t>
      </w:r>
    </w:p>
    <w:p w14:paraId="7AB18F43">
      <w:pPr>
        <w:pStyle w:val="2"/>
        <w:widowControl/>
        <w:spacing w:line="600" w:lineRule="exact"/>
        <w:ind w:firstLine="420"/>
        <w:jc w:val="both"/>
        <w:rPr>
          <w:rFonts w:ascii="方正仿宋_GBK" w:hAnsi="宋体" w:eastAsia="方正仿宋_GBK" w:cs="宋体"/>
          <w:sz w:val="32"/>
          <w:szCs w:val="32"/>
        </w:rPr>
      </w:pPr>
      <w:r>
        <w:rPr>
          <w:rFonts w:hint="eastAsia" w:ascii="方正仿宋_GBK" w:hAnsi="宋体" w:eastAsia="方正仿宋_GBK" w:cs="宋体"/>
          <w:sz w:val="32"/>
          <w:szCs w:val="32"/>
        </w:rPr>
        <w:t>三</w:t>
      </w:r>
      <w:r>
        <w:rPr>
          <w:rFonts w:ascii="方正仿宋_GBK" w:hAnsi="宋体" w:eastAsia="方正仿宋_GBK" w:cs="宋体"/>
          <w:sz w:val="32"/>
          <w:szCs w:val="32"/>
        </w:rPr>
        <w:t>、</w:t>
      </w:r>
      <w:r>
        <w:rPr>
          <w:rFonts w:hint="eastAsia" w:ascii="方正仿宋_GBK" w:hAnsi="宋体" w:eastAsia="方正仿宋_GBK" w:cs="宋体"/>
          <w:sz w:val="32"/>
          <w:szCs w:val="32"/>
        </w:rPr>
        <w:t>项目地点：成都金沙遗址博物馆</w:t>
      </w:r>
    </w:p>
    <w:p w14:paraId="28BCCEFD">
      <w:pPr>
        <w:pStyle w:val="2"/>
        <w:widowControl/>
        <w:spacing w:line="600" w:lineRule="exact"/>
        <w:ind w:firstLine="420"/>
        <w:jc w:val="both"/>
        <w:rPr>
          <w:rFonts w:ascii="方正仿宋_GBK" w:hAnsi="宋体" w:eastAsia="方正仿宋_GBK" w:cs="宋体"/>
          <w:sz w:val="32"/>
          <w:szCs w:val="32"/>
        </w:rPr>
      </w:pPr>
      <w:r>
        <w:rPr>
          <w:rFonts w:hint="eastAsia" w:ascii="方正仿宋_GBK" w:hAnsi="宋体" w:eastAsia="方正仿宋_GBK" w:cs="宋体"/>
          <w:sz w:val="32"/>
          <w:szCs w:val="32"/>
        </w:rPr>
        <w:t>四</w:t>
      </w:r>
      <w:r>
        <w:rPr>
          <w:rFonts w:ascii="方正仿宋_GBK" w:hAnsi="宋体" w:eastAsia="方正仿宋_GBK" w:cs="宋体"/>
          <w:sz w:val="32"/>
          <w:szCs w:val="32"/>
        </w:rPr>
        <w:t>、</w:t>
      </w:r>
      <w:r>
        <w:rPr>
          <w:rFonts w:hint="eastAsia" w:ascii="方正仿宋_GBK" w:hAnsi="宋体" w:eastAsia="方正仿宋_GBK" w:cs="宋体"/>
          <w:sz w:val="32"/>
          <w:szCs w:val="32"/>
        </w:rPr>
        <w:t>目标人群：全年龄段公众</w:t>
      </w:r>
      <w:r>
        <w:rPr>
          <w:rFonts w:ascii="方正仿宋_GBK" w:hAnsi="宋体" w:eastAsia="方正仿宋_GBK" w:cs="宋体"/>
          <w:sz w:val="32"/>
          <w:szCs w:val="32"/>
        </w:rPr>
        <w:t xml:space="preserve"> </w:t>
      </w:r>
    </w:p>
    <w:p w14:paraId="73E074CC">
      <w:pPr>
        <w:pStyle w:val="2"/>
        <w:widowControl/>
        <w:spacing w:line="600" w:lineRule="exact"/>
        <w:ind w:firstLine="420"/>
        <w:jc w:val="both"/>
        <w:rPr>
          <w:rFonts w:ascii="方正仿宋_GBK" w:hAnsi="宋体" w:eastAsia="方正仿宋_GBK" w:cs="宋体"/>
          <w:sz w:val="32"/>
          <w:szCs w:val="32"/>
        </w:rPr>
      </w:pPr>
      <w:r>
        <w:rPr>
          <w:rFonts w:hint="eastAsia" w:ascii="方正仿宋_GBK" w:hAnsi="宋体" w:eastAsia="方正仿宋_GBK" w:cs="宋体"/>
          <w:sz w:val="32"/>
          <w:szCs w:val="32"/>
        </w:rPr>
        <w:t>五、主要内容及</w:t>
      </w:r>
      <w:r>
        <w:rPr>
          <w:rFonts w:ascii="方正仿宋_GBK" w:hAnsi="宋体" w:eastAsia="方正仿宋_GBK" w:cs="宋体"/>
          <w:sz w:val="32"/>
          <w:szCs w:val="32"/>
        </w:rPr>
        <w:t>需求</w:t>
      </w:r>
    </w:p>
    <w:p w14:paraId="7728CB5C">
      <w:pPr>
        <w:pStyle w:val="2"/>
        <w:widowControl/>
        <w:snapToGrid w:val="0"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金沙遗址博物馆面向成都市范围内的社区及学校，通过金沙游园会、金沙文化主题讲座或文化分享活动、金沙工坊体验活动、金沙文化主题绘本共读活动等板块，系统推进馆校社共建共享工作。全年计划开展活动</w:t>
      </w:r>
      <w:r>
        <w:rPr>
          <w:rFonts w:ascii="方正仿宋_GBK" w:hAnsi="宋体" w:eastAsia="方正仿宋_GBK" w:cs="宋体"/>
          <w:sz w:val="32"/>
          <w:szCs w:val="32"/>
          <w:lang w:bidi="ar"/>
        </w:rPr>
        <w:t>42</w:t>
      </w: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场，累计服务不少于</w:t>
      </w:r>
      <w:r>
        <w:rPr>
          <w:rFonts w:ascii="方正仿宋_GBK" w:hAnsi="宋体" w:eastAsia="方正仿宋_GBK" w:cs="宋体"/>
          <w:sz w:val="32"/>
          <w:szCs w:val="32"/>
          <w:lang w:bidi="ar"/>
        </w:rPr>
        <w:t>2000</w:t>
      </w: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人次。</w:t>
      </w:r>
    </w:p>
    <w:p w14:paraId="730E8433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（一）金沙游园会</w:t>
      </w:r>
    </w:p>
    <w:p w14:paraId="0EF29B6E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1、活动内容：</w:t>
      </w:r>
    </w:p>
    <w:p w14:paraId="0C418B07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供应商须结合金沙文化内涵与古蜀文明特色，设计一套主题鲜明、创新有趣的游园会活动方案，并负责方案在社区或学校的全程落地执行。游园会应以“沉浸式文化体验”为核心，打破传统单向输出的活动模式，让参与者在互动中成为古蜀文化的探索者与共创者。</w:t>
      </w:r>
    </w:p>
    <w:p w14:paraId="497F4AA2">
      <w:pPr>
        <w:pStyle w:val="2"/>
        <w:widowControl/>
        <w:spacing w:beforeAutospacing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方案设计可包含以下要素：</w:t>
      </w:r>
    </w:p>
    <w:p w14:paraId="335F0072">
      <w:pPr>
        <w:pStyle w:val="2"/>
        <w:widowControl/>
        <w:spacing w:beforeAutospacing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（1）主题化叙事框架：游园会须围绕金沙遗址核心文化元素（如太阳神鸟、古蜀祭祀、金沙先民生活等）构建统一的故事主线或叙事主题，使各互动环节形成有机整体，而非零散游戏拼凑。可参考“古蜀探索”“寻踪金沙”等叙事逻辑进行设计。</w:t>
      </w:r>
    </w:p>
    <w:p w14:paraId="5EA0D5DA">
      <w:pPr>
        <w:pStyle w:val="2"/>
        <w:widowControl/>
        <w:spacing w:beforeAutospacing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（2）角色扮演与身份代入：参与者入场后领取专属“古蜀探索卡”或身份道具，以“古蜀先民”“祭祀使者”“文物守护者”“金沙探索家”等身份开启游园之旅。不同身份可对应不同的任务路线和挑战内容，增加参与者的代入感与重复参与意愿。</w:t>
      </w:r>
    </w:p>
    <w:p w14:paraId="5B38EE20">
      <w:pPr>
        <w:pStyle w:val="2"/>
        <w:widowControl/>
        <w:spacing w:beforeAutospacing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（3）多元化闯关与互动体验：设置不少于5个互动打卡点，涵盖知识竞答、动手实践、团队协作等不同类型。可包含但不限于：文物知识问答、古蜀文化拼图挑战、模拟文物拓印体验、传统游艺体验（如投壶等）、创意手作体验等。每完成一个打卡点任务即可获得一枚专属文物印章。</w:t>
      </w:r>
    </w:p>
    <w:p w14:paraId="32142AFA">
      <w:pPr>
        <w:pStyle w:val="2"/>
        <w:widowControl/>
        <w:spacing w:beforeAutospacing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（4）沉浸式场景营造：活动现场须通过视觉设计、氛围布置、背景音乐等手段营造古蜀文化沉浸感，让参与者仿佛置身于古蜀时空。可设置主题拍照打卡区、文化展示区等辅助功能区。</w:t>
      </w:r>
    </w:p>
    <w:p w14:paraId="4AC17B22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（5）分层设计：方案须考虑不同年龄段参与者的体验需求，兼顾儿童、青少年、成年人及老年人的参与便利性与趣味性。</w:t>
      </w:r>
    </w:p>
    <w:p w14:paraId="7B9D97AC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2、活动需求：</w:t>
      </w:r>
    </w:p>
    <w:p w14:paraId="67D096E5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（1）全年开展游园会不少于10场，每场活动时长不少于2小时，服务人数共计不少于100</w:t>
      </w:r>
      <w:r>
        <w:rPr>
          <w:rFonts w:ascii="方正仿宋_GBK" w:hAnsi="宋体" w:eastAsia="方正仿宋_GBK" w:cs="宋体"/>
          <w:sz w:val="32"/>
          <w:szCs w:val="32"/>
          <w:lang w:bidi="ar"/>
        </w:rPr>
        <w:t>0</w:t>
      </w: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人次；设置不少于3个功能区（互动游戏区、沉浸式体验区、文化展示区），配备活动引导及现场服务人员不少于5人。</w:t>
      </w:r>
    </w:p>
    <w:p w14:paraId="4839C14F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（2）供应商须在活动执行前提交完整的游园会执行方案，经采购方审核确认后方可实施。方案须体现金沙文化特色与创意性。</w:t>
      </w:r>
    </w:p>
    <w:p w14:paraId="6AB9BFAD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（3）结合社区或学校特点设计制作主题背景板或门头不少于1组，尺寸不小于4*3米；设计制作游戏规则展板不少于3块，尺寸不小于0.8*1.2米；设计制作引导标识牌不少于3个，尺寸不小于0.8*1.2米；设计制作氛围打卡装置不少于1组，尺寸不小于2*2米。根据活动内容与参与人数配备桌椅不少于10套。</w:t>
      </w:r>
    </w:p>
    <w:p w14:paraId="72FB30BA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（4）制作或采购游园会文化物品不少于500件，包括但不限于金沙文化包、亚克力挂坠、手机挂绳、文物创意贴纸等。</w:t>
      </w:r>
    </w:p>
    <w:p w14:paraId="29894A74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（5）配套制作集章卡、闯关道具、拼图板、游园会工具、套色印章、线索卡等互动物料，共计不少于1000件。</w:t>
      </w:r>
    </w:p>
    <w:p w14:paraId="12FA19C9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（二）金沙文化主题讲座或分享</w:t>
      </w:r>
    </w:p>
    <w:p w14:paraId="1FBBFF1A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1、活动内容：</w:t>
      </w:r>
    </w:p>
    <w:p w14:paraId="0A363C13">
      <w:pPr>
        <w:pStyle w:val="2"/>
        <w:widowControl/>
        <w:spacing w:beforeAutospacing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邀请考古专家、文化学者、教育专家进社区或学校开展专题讲座，或组织博物馆优秀志愿者开展文化分享，向社区居民或在校师生普及金沙遗址考古发现、古蜀文明历史脉络、文化遗产保护意义等内容。讲座内容可根据受众特点差异化设计：面向青少年侧重考古故事与文物解读，面向社区居民侧重申遗意义与金沙遗址与城市发展关系，以通俗易懂的语言传递专业知识。</w:t>
      </w:r>
    </w:p>
    <w:p w14:paraId="5DAB5E25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2、活动需求：</w:t>
      </w:r>
    </w:p>
    <w:p w14:paraId="1247A8F5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（1）全年开展讲座或分享活动不少于20场，每场时长不少于60分钟，服务人数共计不少于</w:t>
      </w:r>
      <w:r>
        <w:rPr>
          <w:rFonts w:ascii="方正仿宋_GBK" w:hAnsi="宋体" w:eastAsia="方正仿宋_GBK" w:cs="宋体"/>
          <w:sz w:val="32"/>
          <w:szCs w:val="32"/>
          <w:lang w:bidi="ar"/>
        </w:rPr>
        <w:t>600</w:t>
      </w: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人次。讲座主讲人员应具备文博、历史、教育等相关专业背景或为成都金沙遗址博物馆认可的优秀志愿者。</w:t>
      </w:r>
    </w:p>
    <w:p w14:paraId="6229679D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（2）每场活动配备现场工作人员不少于2人，供应商负责协调或准备讲座场地、投影音响设备。</w:t>
      </w:r>
    </w:p>
    <w:p w14:paraId="6978DD1B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（3）每场活动设计制作丽屏展架不少于2件，尺寸不小于0.8*1.8米。</w:t>
      </w:r>
    </w:p>
    <w:p w14:paraId="5CC7444D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（三）金沙工坊体验活动</w:t>
      </w:r>
    </w:p>
    <w:p w14:paraId="63942299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1、活动内容：</w:t>
      </w:r>
    </w:p>
    <w:p w14:paraId="4500459D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围绕金沙文化主题，在社区或学校开展手作工坊体验活动。活动结合金沙代表性文物元素与非遗技艺（如剪纸、拓印、竹编、沙画、漆扇、扎染、漆器等），让参与者在手作体验中感受古蜀文明的文化魅力。针对不同群体差异化设计：面向青少年设置“小小传承人”体验课程，侧重动手实践与创意表达；面向社区成年人设置“匠心手作”主题工坊，侧重技艺传承与文化深度体验。</w:t>
      </w:r>
    </w:p>
    <w:p w14:paraId="367B5F71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2、活动需求：</w:t>
      </w:r>
    </w:p>
    <w:p w14:paraId="2278CB76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全年开展工坊体验活动不少于6场，每场时长不少于60分钟，配备主讲与助教人员总计不少于3人。</w:t>
      </w:r>
    </w:p>
    <w:p w14:paraId="36094FDD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活动服务人数共计不少于</w:t>
      </w:r>
      <w:r>
        <w:rPr>
          <w:rFonts w:ascii="方正仿宋_GBK" w:hAnsi="宋体" w:eastAsia="方正仿宋_GBK" w:cs="宋体"/>
          <w:sz w:val="32"/>
          <w:szCs w:val="32"/>
          <w:lang w:bidi="ar"/>
        </w:rPr>
        <w:t>300</w:t>
      </w: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人次，需配备不少于</w:t>
      </w:r>
      <w:r>
        <w:rPr>
          <w:rFonts w:ascii="方正仿宋_GBK" w:hAnsi="宋体" w:eastAsia="方正仿宋_GBK" w:cs="宋体"/>
          <w:sz w:val="32"/>
          <w:szCs w:val="32"/>
          <w:lang w:bidi="ar"/>
        </w:rPr>
        <w:t>300</w:t>
      </w: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份主题手工体验材料，。</w:t>
      </w:r>
    </w:p>
    <w:p w14:paraId="1E4994A6">
      <w:pPr>
        <w:pStyle w:val="2"/>
        <w:widowControl/>
        <w:spacing w:beforeAutospacing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（四）金沙文化主题绘本共读活动</w:t>
      </w:r>
    </w:p>
    <w:p w14:paraId="07D86319">
      <w:pPr>
        <w:pStyle w:val="2"/>
        <w:widowControl/>
        <w:spacing w:beforeAutospacing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1、活动内容：</w:t>
      </w:r>
    </w:p>
    <w:p w14:paraId="135E71CE">
      <w:pPr>
        <w:pStyle w:val="2"/>
        <w:widowControl/>
        <w:spacing w:beforeAutospacing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面向社区或学校低龄儿童开展金沙文化主题绘本共读活动，通过绘本讲读、互动问答、角色扮演等形式，以趣味化方式引导儿童了解金沙遗址与古蜀文明，在阅读中建立对本土文化遗产的初步认知与情感连接。</w:t>
      </w:r>
    </w:p>
    <w:p w14:paraId="29409666">
      <w:pPr>
        <w:pStyle w:val="2"/>
        <w:widowControl/>
        <w:spacing w:beforeAutospacing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2、活动需求：</w:t>
      </w:r>
    </w:p>
    <w:p w14:paraId="2DD68120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全年开展绘本共读活动不少于6场，不限学校或社区场次，每场时长不少于40分钟，活动服务人数共计不少于120人次，活动需结合金沙主题绘本设计课程内容，并根据课程内容设计制作或采购课程手作材料共计不少于120份。</w:t>
      </w:r>
    </w:p>
    <w:p w14:paraId="192479B3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（五）主视觉设计与宣传物料</w:t>
      </w:r>
    </w:p>
    <w:p w14:paraId="275D9009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供应商须完成学校与社区主视觉设计各1套，并对应完成延展设计。</w:t>
      </w:r>
      <w:r>
        <w:rPr>
          <w:rFonts w:ascii="方正仿宋_GBK" w:hAnsi="宋体" w:eastAsia="方正仿宋_GBK" w:cs="宋体"/>
          <w:sz w:val="32"/>
          <w:szCs w:val="32"/>
          <w:lang w:bidi="ar"/>
        </w:rPr>
        <w:t xml:space="preserve"> </w:t>
      </w:r>
    </w:p>
    <w:p w14:paraId="4B6B7219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（六）其他需求</w:t>
      </w:r>
    </w:p>
    <w:p w14:paraId="74051833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1、活动氛围营造：设计制作手持展板、异形展板不少于</w:t>
      </w:r>
      <w:r>
        <w:rPr>
          <w:rFonts w:ascii="方正仿宋_GBK" w:hAnsi="宋体" w:eastAsia="方正仿宋_GBK" w:cs="宋体"/>
          <w:sz w:val="32"/>
          <w:szCs w:val="32"/>
          <w:lang w:bidi="ar"/>
        </w:rPr>
        <w:t>20</w:t>
      </w: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张，双面印刷，单张尺寸不小于10×20cm；</w:t>
      </w:r>
    </w:p>
    <w:p w14:paraId="027E44AF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ascii="方正仿宋_GBK" w:hAnsi="宋体" w:eastAsia="方正仿宋_GBK" w:cs="宋体"/>
          <w:sz w:val="32"/>
          <w:szCs w:val="32"/>
          <w:lang w:bidi="ar"/>
        </w:rPr>
        <w:t>2</w:t>
      </w: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、制作项目主题横幅不少于</w:t>
      </w:r>
      <w:r>
        <w:rPr>
          <w:rFonts w:ascii="方正仿宋_GBK" w:hAnsi="宋体" w:eastAsia="方正仿宋_GBK" w:cs="宋体"/>
          <w:sz w:val="32"/>
          <w:szCs w:val="32"/>
          <w:lang w:bidi="ar"/>
        </w:rPr>
        <w:t>10</w:t>
      </w: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条（不小于4米）。</w:t>
      </w:r>
    </w:p>
    <w:p w14:paraId="411D8D45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ascii="方正仿宋_GBK" w:hAnsi="宋体" w:eastAsia="方正仿宋_GBK" w:cs="宋体"/>
          <w:sz w:val="32"/>
          <w:szCs w:val="32"/>
          <w:lang w:bidi="ar"/>
        </w:rPr>
        <w:t>3</w:t>
      </w: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、活动保障：为每场活动的参与人员及工作人员购置保额不低于</w:t>
      </w:r>
      <w:r>
        <w:rPr>
          <w:rFonts w:ascii="方正仿宋_GBK" w:hAnsi="宋体" w:eastAsia="方正仿宋_GBK" w:cs="宋体"/>
          <w:sz w:val="32"/>
          <w:szCs w:val="32"/>
          <w:lang w:bidi="ar"/>
        </w:rPr>
        <w:t>20</w:t>
      </w: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万的意外保险；提供工作人员必要的工作保障物资，包括但不限于工作证、饮用水等。</w:t>
      </w:r>
    </w:p>
    <w:p w14:paraId="25C1638A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ascii="方正仿宋_GBK" w:hAnsi="宋体" w:eastAsia="方正仿宋_GBK" w:cs="宋体"/>
          <w:sz w:val="32"/>
          <w:szCs w:val="32"/>
          <w:lang w:bidi="ar"/>
        </w:rPr>
        <w:t>4</w:t>
      </w: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、活动推广与反馈：对不少于</w:t>
      </w:r>
      <w:r>
        <w:rPr>
          <w:rFonts w:ascii="方正仿宋_GBK" w:hAnsi="宋体" w:eastAsia="方正仿宋_GBK" w:cs="宋体"/>
          <w:sz w:val="32"/>
          <w:szCs w:val="32"/>
          <w:lang w:bidi="ar"/>
        </w:rPr>
        <w:t>20</w:t>
      </w: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场活动进行跟拍，每场活动照片不少于10张，格式为JPG格式，尺寸不低于2MB。</w:t>
      </w:r>
    </w:p>
    <w:p w14:paraId="16449C50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5、项目落地保障：负责联系成都市范围内的社区及学校，对接活动落地的场地、计划、方案、人员和物资，并完成活动执行。</w:t>
      </w:r>
    </w:p>
    <w:p w14:paraId="07147CF4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ascii="方正仿宋_GBK" w:hAnsi="宋体" w:eastAsia="方正仿宋_GBK" w:cs="宋体"/>
          <w:sz w:val="32"/>
          <w:szCs w:val="32"/>
          <w:lang w:bidi="ar"/>
        </w:rPr>
        <w:t>6</w:t>
      </w: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、 开展问卷调查不少于</w:t>
      </w:r>
      <w:r>
        <w:rPr>
          <w:rFonts w:ascii="方正仿宋_GBK" w:hAnsi="宋体" w:eastAsia="方正仿宋_GBK" w:cs="宋体"/>
          <w:sz w:val="32"/>
          <w:szCs w:val="32"/>
          <w:lang w:bidi="ar"/>
        </w:rPr>
        <w:t>5</w:t>
      </w: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00份，活动满意度不低于90%。</w:t>
      </w:r>
    </w:p>
    <w:p w14:paraId="7E03E854">
      <w:pPr>
        <w:pStyle w:val="2"/>
        <w:widowControl/>
        <w:spacing w:before="0" w:beforeAutospacing="0" w:after="0" w:afterAutospacing="0" w:line="360" w:lineRule="auto"/>
        <w:ind w:firstLine="640" w:firstLineChars="200"/>
        <w:jc w:val="both"/>
        <w:rPr>
          <w:rFonts w:ascii="方正仿宋_GBK" w:hAnsi="宋体" w:eastAsia="方正仿宋_GBK" w:cs="宋体"/>
          <w:sz w:val="32"/>
          <w:szCs w:val="32"/>
          <w:lang w:bidi="ar"/>
        </w:rPr>
      </w:pPr>
      <w:r>
        <w:rPr>
          <w:rFonts w:ascii="方正仿宋_GBK" w:hAnsi="宋体" w:eastAsia="方正仿宋_GBK" w:cs="宋体"/>
          <w:sz w:val="32"/>
          <w:szCs w:val="32"/>
          <w:lang w:bidi="ar"/>
        </w:rPr>
        <w:t>7</w:t>
      </w:r>
      <w:r>
        <w:rPr>
          <w:rFonts w:hint="eastAsia" w:ascii="方正仿宋_GBK" w:hAnsi="宋体" w:eastAsia="方正仿宋_GBK" w:cs="宋体"/>
          <w:sz w:val="32"/>
          <w:szCs w:val="32"/>
          <w:lang w:bidi="ar"/>
        </w:rPr>
        <w:t>、项目执行过程中所产生的知识产权成果归成都金沙遗址博物馆所有，供应商须保证所提供的内容不侵犯第三方知识产权。</w:t>
      </w:r>
    </w:p>
    <w:p w14:paraId="22B6F8A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MicrosoftYaHei">
    <w:altName w:val="Noto Sans SC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21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2026-08-21T07:44:56Z</dcterms:created>
  <dc:creator>Administrator</dc:creator>
  <cp:lastModifiedBy>吴彬</cp:lastModifiedBy>
  <dcterms:modified xsi:type="dcterms:W3CDTF">2026-08-21T07:48:33Z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eyJoZGlkIjoiYzQ4ZjhjNmQzZTg2OTAzYmJmOWExMjgxNjkyMWRmMDciLCJ1c2VySWQiOiIyNzQ2MDMxMDIifQ==</vt:lpwstr>
  </property>
  <property fmtid="{D5CDD505-2E9C-101B-9397-08002B2CF9AE}" pid="4" name="ICV">
    <vt:lpwstr>9C203F4195AB4D77BA6137B0F75AB579_12</vt:lpwstr>
  </property>
</Properties>
</file>